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2" w:lineRule="exact"/>
        <w:jc w:val="center"/>
        <w:rPr>
          <w:rFonts w:hint="eastAsia" w:ascii="黑体" w:eastAsia="黑体"/>
          <w:sz w:val="36"/>
        </w:rPr>
      </w:pPr>
    </w:p>
    <w:p>
      <w:pPr>
        <w:spacing w:line="582" w:lineRule="exact"/>
        <w:jc w:val="center"/>
        <w:rPr>
          <w:rFonts w:hint="eastAsia" w:ascii="黑体" w:eastAsia="黑体"/>
          <w:sz w:val="36"/>
        </w:rPr>
      </w:pPr>
    </w:p>
    <w:p>
      <w:pPr>
        <w:spacing w:line="582" w:lineRule="exact"/>
        <w:jc w:val="center"/>
        <w:rPr>
          <w:rFonts w:hint="eastAsia" w:ascii="黑体" w:eastAsia="黑体"/>
          <w:sz w:val="36"/>
        </w:rPr>
      </w:pPr>
    </w:p>
    <w:p>
      <w:pPr>
        <w:spacing w:line="582" w:lineRule="exact"/>
        <w:jc w:val="center"/>
        <w:rPr>
          <w:rFonts w:hint="eastAsia" w:ascii="黑体" w:eastAsia="黑体"/>
          <w:sz w:val="36"/>
        </w:rPr>
      </w:pPr>
    </w:p>
    <w:p>
      <w:pPr>
        <w:spacing w:line="582" w:lineRule="exact"/>
        <w:jc w:val="center"/>
        <w:rPr>
          <w:rFonts w:ascii="黑体" w:eastAsia="黑体"/>
          <w:sz w:val="36"/>
        </w:rPr>
      </w:pPr>
    </w:p>
    <w:p>
      <w:pPr>
        <w:jc w:val="center"/>
        <w:rPr>
          <w:rFonts w:hint="default" w:ascii="Times New Roman" w:hAnsi="Times New Roman" w:eastAsia="方正小标宋_GBK" w:cs="Times New Roman"/>
          <w:color w:val="FF0000"/>
          <w:spacing w:val="-16"/>
          <w:w w:val="33"/>
          <w:sz w:val="144"/>
        </w:rPr>
      </w:pPr>
      <w:r>
        <w:rPr>
          <w:rFonts w:hint="default" w:ascii="Times New Roman" w:hAnsi="Times New Roman" w:eastAsia="方正小标宋_GBK" w:cs="Times New Roman"/>
          <w:color w:val="FF0000"/>
          <w:spacing w:val="-16"/>
          <w:w w:val="33"/>
          <w:sz w:val="144"/>
        </w:rPr>
        <w:t>重庆市沙坪坝区人力资源和社会保障局文件</w:t>
      </w:r>
    </w:p>
    <w:p>
      <w:pPr>
        <w:jc w:val="center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沙人社</w:t>
      </w:r>
      <w:r>
        <w:rPr>
          <w:rFonts w:hint="eastAsia" w:cs="Times New Roman"/>
          <w:sz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eastAsia="方正仿宋_GBK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cs="Times New Roman"/>
          <w:sz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keepNext w:val="0"/>
        <w:keepLines w:val="0"/>
        <w:pageBreakBefore w:val="0"/>
        <w:tabs>
          <w:tab w:val="left" w:pos="3885"/>
        </w:tabs>
        <w:kinsoku/>
        <w:wordWrap/>
        <w:overflowPunct/>
        <w:topLinePunct w:val="0"/>
        <w:autoSpaceDE/>
        <w:autoSpaceDN/>
        <w:bidi w:val="0"/>
        <w:spacing w:line="580" w:lineRule="exact"/>
        <w:ind w:firstLine="392" w:firstLineChars="200"/>
        <w:jc w:val="center"/>
        <w:textAlignment w:val="auto"/>
        <w:rPr>
          <w:rFonts w:hint="eastAsia" w:ascii="方正小标宋_GBK" w:eastAsia="方正小标宋_GBK"/>
          <w:b/>
          <w:bCs/>
          <w:sz w:val="44"/>
        </w:rPr>
      </w:pPr>
      <w:r>
        <w:rPr>
          <w:rFonts w:ascii="仿宋_GB2312" w:eastAsia="仿宋_GB2312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204470</wp:posOffset>
                </wp:positionV>
                <wp:extent cx="5608320" cy="4445"/>
                <wp:effectExtent l="0" t="10795" r="11430" b="13335"/>
                <wp:wrapNone/>
                <wp:docPr id="1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8320" cy="4445"/>
                        </a:xfrm>
                        <a:prstGeom prst="line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-1.5pt;margin-top:16.1pt;height:0.35pt;width:441.6pt;z-index:251659264;mso-width-relative:page;mso-height-relative:page;" filled="f" stroked="t" coordsize="21600,21600" o:gfxdata="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OqPfdgAAAAIAQAADwAAAAAAAAABACAA&#10;AAAiAAAAZHJzL2Rvd25yZXYueG1sUEsBAhQAFAAAAAgAh07iQIXCT5HUAQAAkQMAAA4AAAAAAAAA&#10;AQAgAAAAJwEAAGRycy9lMm9Eb2MueG1sUEsFBgAAAAAGAAYAWQEAAG0FAAAAAA==&#10;">
                <v:fill on="f" focussize="0,0"/>
                <v:stroke weight="1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872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沙坪坝区人力资源和社会保障局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关于举办2023年沙坪坝区“全城寻能”数字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经济领域职业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技能大赛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afterLines="0" w:afterAutospacing="0" w:line="580" w:lineRule="exact"/>
        <w:ind w:left="0" w:leftChars="0" w:firstLine="632" w:firstLineChars="200"/>
        <w:jc w:val="center"/>
        <w:textAlignment w:val="auto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left"/>
        <w:textAlignment w:val="auto"/>
        <w:outlineLvl w:val="9"/>
        <w:rPr>
          <w:rFonts w:hint="default" w:eastAsia="方正仿宋_GBK"/>
          <w:kern w:val="0"/>
          <w:sz w:val="32"/>
        </w:rPr>
      </w:pPr>
      <w:r>
        <w:rPr>
          <w:rFonts w:hint="eastAsia" w:eastAsia="方正仿宋_GBK"/>
          <w:kern w:val="0"/>
          <w:sz w:val="32"/>
        </w:rPr>
        <w:t>各镇人民政府、街道办事处，区委各部委、区级各部门，有关单位：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TW"/>
        </w:rPr>
        <w:t>为深入贯彻落实习近平总书记对技能人才工作的重要指示精神，大力弘扬劳模精神、劳动精神和工匠精神，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促进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TW"/>
        </w:rPr>
        <w:t>高技能人才高质量发展，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激励更多劳动者特别是青年一代走技能成才、技能报国之路，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决定举办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2023年沙坪坝区“全城寻能”数字经济领域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职业技能大赛，现将有关事项通知如下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大赛名称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2023年沙坪坝区“全城寻能”数字经济领域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职业技能大赛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、大赛主题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技高行天下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能强走世界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三、组织单位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指导单位：重庆市人力资源和社会保障局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主办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单位：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沙坪坝区区委组织部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12" w:firstLineChars="700"/>
        <w:jc w:val="left"/>
        <w:textAlignment w:val="auto"/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color w:val="auto"/>
          <w:kern w:val="0"/>
          <w:sz w:val="32"/>
          <w:szCs w:val="32"/>
          <w:lang w:val="en-US" w:eastAsia="zh-CN"/>
        </w:rPr>
        <w:t>沙坪坝区区委宣传部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12" w:firstLineChars="7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沙坪坝区人力资源和社会保障局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12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沙坪坝区总工会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12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沙坪坝区退役军人事务局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default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协办单位：沙坪坝区三峡广场商圈管理委员会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12" w:firstLineChars="7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共青团沙坪坝区委员会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12" w:firstLineChars="7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沙坪坝区渝碚路街道办事处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12" w:firstLineChars="7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沙坪坝区磁器口街道办事处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沙坪坝区覃家岗街道办事处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沙坪坝区沙坪坝街道办事处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沙坪坝区天星桥街道办事处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12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沙坪坝区新桥街道办事处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沙坪坝区土湾街道办事处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12" w:firstLineChars="7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沙坪坝区井口街道办事处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 xml:space="preserve">          沙坪坝区双碑街道办事处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承办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单位：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重庆电子工程职业学院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212" w:firstLineChars="7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重庆铁路运输高级技工学校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重庆市嘉禾职业培训学校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2212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重庆市足下软件职业培训学院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支持单位：梁攀国家级技能大师工作室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2212" w:firstLineChars="7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单大琼市级首席技能大师工作室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设立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2023年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沙坪坝区“全城寻能”数字经济领域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职业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技能大赛活动执行委员会，执委会办公室设在沙坪坝区人力资源和社会保障局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就业促进科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，负责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大赛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的具体统筹和组织协调工作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竞赛事项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2"/>
          <w:szCs w:val="32"/>
          <w:lang w:val="en-US" w:eastAsia="zh-CN"/>
        </w:rPr>
        <w:t>竞赛项目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both"/>
        <w:textAlignment w:val="auto"/>
        <w:outlineLvl w:val="9"/>
        <w:rPr>
          <w:rFonts w:hint="eastAsia"/>
          <w:kern w:val="0"/>
          <w:lang w:val="en-US" w:eastAsia="zh-CN"/>
        </w:rPr>
      </w:pP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/>
        </w:rPr>
        <w:t>汽车维修工（新能源方向）、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电子设备装调工、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互联网营销师</w:t>
      </w:r>
      <w:r>
        <w:rPr>
          <w:rFonts w:hint="eastAsia" w:ascii="方正仿宋_GBK" w:hAnsi="方正仿宋_GBK" w:cs="方正仿宋_GBK"/>
          <w:kern w:val="2"/>
          <w:sz w:val="32"/>
          <w:szCs w:val="32"/>
          <w:lang w:val="en-US" w:eastAsia="zh-CN"/>
        </w:rPr>
        <w:t>、</w:t>
      </w:r>
      <w:r>
        <w:rPr>
          <w:rFonts w:hint="eastAsia" w:ascii="Times New Roman" w:eastAsia="方正仿宋_GBK"/>
          <w:kern w:val="0"/>
          <w:lang w:val="en-US" w:eastAsia="zh-CN"/>
        </w:rPr>
        <w:t>计算机程序设计员、电子商务师。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（二）竞赛标准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eastAsia="方正仿宋_GBK"/>
          <w:kern w:val="0"/>
          <w:lang w:val="en-US" w:eastAsia="zh-CN"/>
        </w:rPr>
        <w:t>大赛以国家职业三级技能标准（高级工）为命题标准。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（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>）</w:t>
      </w: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竞赛形式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大赛以技能操作形式进行，实行100分制。选手按照抽签编号进行比赛，最终名次按实操成绩高低排序确定。成绩合格分数为60分，作为取得相应竞赛项目职业技能等级证书的依据。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（四）裁判专家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各竞赛项目裁判组裁判长由行业专家担任，裁判员在市裁判员库中抽选。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 w:bidi="ar-SA"/>
        </w:rPr>
        <w:t>五、竞赛组别和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 w:bidi="ar-SA"/>
        </w:rPr>
        <w:t>报名参赛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（一）参赛对象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580" w:lineRule="exact"/>
        <w:ind w:left="0" w:leftChars="0" w:right="0"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凡年满18周岁以上、法定退休年龄以内的人员，且具有相应职业（工种）国家职业标准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级（</w:t>
      </w:r>
      <w:r>
        <w:rPr>
          <w:rFonts w:hint="eastAsia" w:cs="Times New Roman"/>
          <w:kern w:val="0"/>
          <w:sz w:val="32"/>
          <w:szCs w:val="32"/>
          <w:lang w:val="en-US" w:eastAsia="zh-CN" w:bidi="ar-SA"/>
        </w:rPr>
        <w:t>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级工）职业资格证书或技能等级证书，或从事本职业（工种）工作5年以上人员。以学生身份参赛的应为年满18周岁且在籍在册的在校生，以职工身份参赛的需年满22周岁，按属地原则报名参赛。各职业（工种）的同一竞赛组别初始参赛选手原则上不少于40人，决赛选手原则上不少于20人，同一单位选派选手原则上不得超过3人，且同一选手不得参加多个比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0"/>
          <w:sz w:val="32"/>
          <w:szCs w:val="32"/>
          <w:lang w:val="en-US" w:eastAsia="zh-CN"/>
        </w:rPr>
        <w:t>（二）报名资料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参赛选手需准备报名表、二寸免冠白底登记照2张、一张大小为20kb以下jpg格式的电子照片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，具体报名事宜以各承办单位通知为准。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六、竞赛时间和地点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大赛采取分散办赛的形式，由各赛项承办机构组织实施。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（一）报名截止时间以各赛项承办单位通知为准，每名选手仅限一个竞赛职业（工种）报名。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（二）大赛启动仪式：2023年5月下旬（具体时间另行通知），地点：三峡广场。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（三）竞赛地点：各项目在沙坪坝区各赛项承办点举行。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七、表彰激励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（一）奖项设置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根据《重庆市职业技能竞赛管理和奖励补助办法》（渝高技办〔2021〕14号）有关规定，各项目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决赛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参赛人数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达到或超过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。各赛项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分别设置一等奖1名、二等奖2名、三等奖3名，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对获得一、二、三等奖的选手，分别给与5000元、3000元和1000元的现金奖励，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另按获奖总人数不超过决赛参赛选手数量的30%设置优胜奖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，同时设置优秀组织奖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，由组委会颁发荣誉证书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技能证书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对符合职业技能等级证书颁发有关规定，且参赛选手技能成绩合格的，颁发与命题等级对应的职业技能等级证书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firstLine="632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人才推荐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获奖个人纳入区高技能人才后备库，优先推荐参加市、区高技能人才评选表彰，同时推荐到区内重点企业、机关事业单位就业。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八、联系方式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（一）汽车维修工（新能源方向）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承办单位：重庆电子工程职业学院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联系人：彭彬、朱游兵 联系电话：15111895559、13883823813</w:t>
      </w:r>
    </w:p>
    <w:p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电子设备装调工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cs="Times New Roman"/>
          <w:kern w:val="0"/>
          <w:sz w:val="32"/>
          <w:szCs w:val="32"/>
          <w:lang w:val="en-US" w:eastAsia="zh-CN"/>
        </w:rPr>
        <w:t>承办单位：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重庆铁路运输高级技工学校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联系人：王松  联系电话：17782246662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（三）互联网营销师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承办单位：重庆市嘉禾职业培训学校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联系人：廖莎、陈聪  联系电话：17782053630、15922678240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outlineLvl w:val="9"/>
        <w:rPr>
          <w:rFonts w:hint="default" w:ascii="方正楷体_GBK" w:hAnsi="方正楷体_GBK" w:eastAsia="方正楷体_GBK" w:cs="方正楷体_GBK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 w:bidi="ar-SA"/>
        </w:rPr>
        <w:t>（四）计算机程序设计员、电子商务师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承办单位：重庆市足下软件职业培训学院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联系人：秦陆国   联系电话：18623330514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jc w:val="left"/>
        <w:textAlignment w:val="auto"/>
        <w:outlineLvl w:val="9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eastAsia" w:eastAsia="方正黑体_GBK" w:cs="Times New Roman"/>
          <w:kern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、其它事项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（一）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各镇街、区级部门、相关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院校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单位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高度重视，广泛发动组织职工、学生、教师积极参与大赛活动，进一步引导和鼓励技能人才立足岗位，学习新技能、增长新本领、创造新业绩，将大赛活动与促进岗位练兵、岗位成才有机结合起来，确保大赛活动成功举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32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（二）各赛项承办单位要高度重视，精心组织，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严格按照职业技能标准制定比赛实施方案，建立健全比赛管理制度，严密组织竞赛，确保竞赛质量，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保证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赛事公平公正。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eastAsia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righ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沙坪坝区人力资源和社会保障局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年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月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（联系人：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高源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、伍明明，联系电话：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86255383、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86282706）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32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（此件公开发布）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984" w:right="1446" w:bottom="1644" w:left="1446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9FD9C3-CB21-45DE-B3AD-F1FB3B430B7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C81785A-35F8-4BE8-89A2-E9B1B12F23D1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3" w:fontKey="{2A22C802-050B-4F91-9170-B98D769138AF}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DAA610-E44B-4918-98FB-F9EAF68463C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47BA22FC-FED5-48C6-9EA0-76C5C4587CE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BD981CC-7B6F-4A52-8C16-AE21042DAB2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280" w:firstLineChars="10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 </w:t>
    </w:r>
  </w:p>
  <w:p>
    <w:pPr>
      <w:pStyle w:val="9"/>
      <w:jc w:val="center"/>
      <w:rPr>
        <w:rFonts w:hint="eastAsia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M6pebnPAAAABQEAAA8AAAAAAAAAAQAgAAAAIgAAAGRycy9kb3ducmV2LnhtbFBLAQIUABQAAAAI&#10;AIdO4kDvj+vrvQEAAGIDAAAOAAAAAAAAAAEAIAAAAB4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280" w:firstLineChars="100"/>
      <w:jc w:val="lef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 PAGE  \* MERGEFORMAT 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</w:rPr>
      <w:t>1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 </w:t>
    </w:r>
  </w:p>
  <w:p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2C759D"/>
    <w:multiLevelType w:val="singleLevel"/>
    <w:tmpl w:val="852C75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A75F00C"/>
    <w:multiLevelType w:val="singleLevel"/>
    <w:tmpl w:val="CA75F00C"/>
    <w:lvl w:ilvl="0" w:tentative="0">
      <w:start w:val="2"/>
      <w:numFmt w:val="chineseCounting"/>
      <w:suff w:val="nothing"/>
      <w:lvlText w:val="（%1）"/>
      <w:lvlJc w:val="left"/>
      <w:rPr>
        <w:rFonts w:hint="eastAsia" w:ascii="方正楷体_GBK" w:hAnsi="方正楷体_GBK" w:eastAsia="方正楷体_GBK" w:cs="方正楷体_GBK"/>
      </w:rPr>
    </w:lvl>
  </w:abstractNum>
  <w:abstractNum w:abstractNumId="2">
    <w:nsid w:val="5877E754"/>
    <w:multiLevelType w:val="singleLevel"/>
    <w:tmpl w:val="5877E75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B45CB83"/>
    <w:multiLevelType w:val="singleLevel"/>
    <w:tmpl w:val="6B45CB8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N2U1NGFiNjAyNDRiMzEwZDRhOTc1ZjQxMDAxZTkifQ=="/>
    <w:docVar w:name="KSO_WPS_MARK_KEY" w:val="7732d753-226d-43e6-a570-1b9d9fc87175"/>
  </w:docVars>
  <w:rsids>
    <w:rsidRoot w:val="00E040C2"/>
    <w:rsid w:val="0001375E"/>
    <w:rsid w:val="000B4DAC"/>
    <w:rsid w:val="00117BAB"/>
    <w:rsid w:val="00125752"/>
    <w:rsid w:val="00204FE2"/>
    <w:rsid w:val="00225E2E"/>
    <w:rsid w:val="00262F82"/>
    <w:rsid w:val="00284433"/>
    <w:rsid w:val="003F7860"/>
    <w:rsid w:val="00410732"/>
    <w:rsid w:val="00430F19"/>
    <w:rsid w:val="0045533E"/>
    <w:rsid w:val="005449ED"/>
    <w:rsid w:val="005C10FD"/>
    <w:rsid w:val="005F5300"/>
    <w:rsid w:val="006864A6"/>
    <w:rsid w:val="006920CD"/>
    <w:rsid w:val="006A3B29"/>
    <w:rsid w:val="006A5C82"/>
    <w:rsid w:val="007103B0"/>
    <w:rsid w:val="00752857"/>
    <w:rsid w:val="0078559C"/>
    <w:rsid w:val="0082235A"/>
    <w:rsid w:val="008562AA"/>
    <w:rsid w:val="00893BB2"/>
    <w:rsid w:val="00931E44"/>
    <w:rsid w:val="0097752B"/>
    <w:rsid w:val="009F6151"/>
    <w:rsid w:val="00A37A75"/>
    <w:rsid w:val="00A41CAB"/>
    <w:rsid w:val="00A437EA"/>
    <w:rsid w:val="00B05115"/>
    <w:rsid w:val="00B132B2"/>
    <w:rsid w:val="00B464BC"/>
    <w:rsid w:val="00B96A6A"/>
    <w:rsid w:val="00C84B3F"/>
    <w:rsid w:val="00DF170F"/>
    <w:rsid w:val="00E040C2"/>
    <w:rsid w:val="00E43AB0"/>
    <w:rsid w:val="00E84F93"/>
    <w:rsid w:val="00F855C1"/>
    <w:rsid w:val="00FD09FF"/>
    <w:rsid w:val="0328564A"/>
    <w:rsid w:val="041A3217"/>
    <w:rsid w:val="044C50BA"/>
    <w:rsid w:val="084560A8"/>
    <w:rsid w:val="08FA5807"/>
    <w:rsid w:val="0D8F33A8"/>
    <w:rsid w:val="10F63D2A"/>
    <w:rsid w:val="138C7281"/>
    <w:rsid w:val="15F10B22"/>
    <w:rsid w:val="16A83E29"/>
    <w:rsid w:val="19EB7F55"/>
    <w:rsid w:val="1A397DD1"/>
    <w:rsid w:val="1C501FC7"/>
    <w:rsid w:val="1D533289"/>
    <w:rsid w:val="1F455D69"/>
    <w:rsid w:val="253510F9"/>
    <w:rsid w:val="25E940BF"/>
    <w:rsid w:val="28964DAD"/>
    <w:rsid w:val="2C914EA4"/>
    <w:rsid w:val="2D644A76"/>
    <w:rsid w:val="2DF34CCA"/>
    <w:rsid w:val="2E960B5C"/>
    <w:rsid w:val="2EA36AA8"/>
    <w:rsid w:val="352062BF"/>
    <w:rsid w:val="38AB2F73"/>
    <w:rsid w:val="3E434440"/>
    <w:rsid w:val="40DA0D7C"/>
    <w:rsid w:val="41347EEA"/>
    <w:rsid w:val="45546E69"/>
    <w:rsid w:val="47EF335F"/>
    <w:rsid w:val="48D353A7"/>
    <w:rsid w:val="4B0B0877"/>
    <w:rsid w:val="525426A3"/>
    <w:rsid w:val="534E1882"/>
    <w:rsid w:val="53FD3ED4"/>
    <w:rsid w:val="54D62CED"/>
    <w:rsid w:val="57A90CF8"/>
    <w:rsid w:val="57AB30C3"/>
    <w:rsid w:val="5D134468"/>
    <w:rsid w:val="5E550ABC"/>
    <w:rsid w:val="61B064CB"/>
    <w:rsid w:val="61B565AD"/>
    <w:rsid w:val="630E4B89"/>
    <w:rsid w:val="640D4E41"/>
    <w:rsid w:val="6513288B"/>
    <w:rsid w:val="67515045"/>
    <w:rsid w:val="6773145F"/>
    <w:rsid w:val="682D3D1D"/>
    <w:rsid w:val="69400F5D"/>
    <w:rsid w:val="6B2B44C2"/>
    <w:rsid w:val="6D1C2B63"/>
    <w:rsid w:val="6DBA4657"/>
    <w:rsid w:val="6E441072"/>
    <w:rsid w:val="6F1E3A8D"/>
    <w:rsid w:val="6FE0340A"/>
    <w:rsid w:val="72F67108"/>
    <w:rsid w:val="755E374E"/>
    <w:rsid w:val="76F31E8E"/>
    <w:rsid w:val="781E0F61"/>
    <w:rsid w:val="78236589"/>
    <w:rsid w:val="78402A21"/>
    <w:rsid w:val="78530079"/>
    <w:rsid w:val="78766E4D"/>
    <w:rsid w:val="796E6BC3"/>
    <w:rsid w:val="7B6313B8"/>
    <w:rsid w:val="7D655E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Body Text"/>
    <w:basedOn w:val="1"/>
    <w:next w:val="4"/>
    <w:qFormat/>
    <w:uiPriority w:val="0"/>
    <w:rPr>
      <w:rFonts w:eastAsia="仿宋_GB2312"/>
      <w:sz w:val="32"/>
    </w:rPr>
  </w:style>
  <w:style w:type="paragraph" w:styleId="4">
    <w:name w:val="index 7"/>
    <w:basedOn w:val="1"/>
    <w:next w:val="1"/>
    <w:qFormat/>
    <w:uiPriority w:val="0"/>
    <w:pPr>
      <w:ind w:left="2520"/>
    </w:pPr>
  </w:style>
  <w:style w:type="paragraph" w:styleId="5">
    <w:name w:val="Plain Text"/>
    <w:basedOn w:val="1"/>
    <w:next w:val="6"/>
    <w:qFormat/>
    <w:uiPriority w:val="0"/>
    <w:rPr>
      <w:rFonts w:ascii="宋体" w:hAnsi="Courier New" w:cs="Courier New"/>
      <w:szCs w:val="21"/>
    </w:rPr>
  </w:style>
  <w:style w:type="paragraph" w:customStyle="1" w:styleId="6">
    <w:name w:val="p0"/>
    <w:qFormat/>
    <w:uiPriority w:val="0"/>
    <w:pPr>
      <w:jc w:val="both"/>
    </w:pPr>
    <w:rPr>
      <w:rFonts w:ascii="Times New Roman" w:hAnsi="Times New Roman" w:eastAsia="仿宋_GB2312" w:cs="Times New Roman"/>
      <w:sz w:val="32"/>
      <w:szCs w:val="21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ind w:leftChars="2500"/>
    </w:pPr>
    <w:rPr>
      <w:rFonts w:hint="eastAsia" w:ascii="仿宋_GB2312" w:eastAsia="仿宋_GB2312"/>
      <w:sz w:val="32"/>
      <w:szCs w:val="32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7">
    <w:name w:val="p38"/>
    <w:basedOn w:val="1"/>
    <w:qFormat/>
    <w:uiPriority w:val="0"/>
    <w:pPr>
      <w:spacing w:before="0" w:beforeLines="0" w:beforeAutospacing="0" w:after="0" w:afterLines="0" w:afterAutospacing="0"/>
      <w:jc w:val="both"/>
    </w:pPr>
    <w:rPr>
      <w:rFonts w:hint="default" w:ascii="Times New Roman" w:hAnsi="Times New Roman" w:cs="Times New Roman"/>
      <w:color w:val="auto"/>
      <w:kern w:val="0"/>
      <w:sz w:val="21"/>
      <w:szCs w:val="21"/>
      <w:lang w:val="en-US" w:eastAsia="zh-CN" w:bidi="ar-SA"/>
    </w:rPr>
  </w:style>
  <w:style w:type="paragraph" w:customStyle="1" w:styleId="18">
    <w:name w:val="正文首行缩进1"/>
    <w:basedOn w:val="3"/>
    <w:qFormat/>
    <w:uiPriority w:val="0"/>
    <w:pPr>
      <w:spacing w:line="560" w:lineRule="exact"/>
      <w:ind w:firstLine="721" w:firstLineChars="200"/>
      <w:jc w:val="both"/>
    </w:pPr>
    <w:rPr>
      <w:rFonts w:ascii="仿宋_GB2312" w:hAnsi="Times New Roman" w:eastAsia="方正仿宋_GBK" w:cs="Times New Roman"/>
      <w:color w:val="FF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2027</Words>
  <Characters>2156</Characters>
  <Lines>1</Lines>
  <Paragraphs>1</Paragraphs>
  <TotalTime>46</TotalTime>
  <ScaleCrop>false</ScaleCrop>
  <LinksUpToDate>false</LinksUpToDate>
  <CharactersWithSpaces>2281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2003-04-22T01:53:00Z</dcterms:created>
  <dc:creator>user</dc:creator>
  <cp:lastModifiedBy>admin</cp:lastModifiedBy>
  <cp:lastPrinted>2023-04-20T06:36:00Z</cp:lastPrinted>
  <dcterms:modified xsi:type="dcterms:W3CDTF">2023-11-14T08:33:31Z</dcterms:modified>
  <dc:title>关于调整区城镇职工医疗保险制度</dc:title>
  <cp:revision>166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28950BB614EE4F2FB6586D76F7DF841F</vt:lpwstr>
  </property>
</Properties>
</file>