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94" w:lineRule="exact"/>
        <w:jc w:val="center"/>
        <w:rPr>
          <w:rFonts w:ascii="Times New Roman" w:hAnsi="Times New Roman" w:eastAsia="方正小标宋_GBK"/>
          <w:bCs/>
          <w:color w:val="auto"/>
          <w:kern w:val="0"/>
          <w:sz w:val="44"/>
          <w:szCs w:val="32"/>
          <w:highlight w:val="none"/>
        </w:rPr>
      </w:pPr>
      <w:r>
        <w:rPr>
          <w:rFonts w:ascii="Times New Roman" w:hAnsi="Times New Roman" w:eastAsia="方正小标宋_GBK"/>
          <w:bCs/>
          <w:color w:val="auto"/>
          <w:kern w:val="0"/>
          <w:sz w:val="44"/>
          <w:szCs w:val="32"/>
          <w:highlight w:val="none"/>
        </w:rPr>
        <w:t>重庆市沙坪坝区农业农村委员会</w:t>
      </w:r>
    </w:p>
    <w:p>
      <w:pPr>
        <w:widowControl/>
        <w:shd w:val="clear" w:color="auto" w:fill="FFFFFF"/>
        <w:adjustRightInd w:val="0"/>
        <w:snapToGrid w:val="0"/>
        <w:spacing w:line="594" w:lineRule="exact"/>
        <w:jc w:val="center"/>
        <w:rPr>
          <w:rFonts w:ascii="Times New Roman" w:hAnsi="Times New Roman" w:eastAsia="方正小标宋_GBK"/>
          <w:color w:val="auto"/>
          <w:kern w:val="0"/>
          <w:sz w:val="44"/>
          <w:szCs w:val="32"/>
          <w:highlight w:val="none"/>
        </w:rPr>
      </w:pPr>
      <w:r>
        <w:rPr>
          <w:rFonts w:ascii="Times New Roman" w:hAnsi="Times New Roman" w:eastAsia="方正小标宋_GBK"/>
          <w:bCs/>
          <w:color w:val="auto"/>
          <w:kern w:val="0"/>
          <w:sz w:val="44"/>
          <w:szCs w:val="32"/>
          <w:highlight w:val="none"/>
        </w:rPr>
        <w:t>202</w:t>
      </w:r>
      <w:r>
        <w:rPr>
          <w:rFonts w:hint="eastAsia" w:ascii="Times New Roman" w:hAnsi="Times New Roman" w:eastAsia="方正小标宋_GBK"/>
          <w:bCs/>
          <w:color w:val="auto"/>
          <w:kern w:val="0"/>
          <w:sz w:val="44"/>
          <w:szCs w:val="32"/>
          <w:highlight w:val="none"/>
        </w:rPr>
        <w:t>2</w:t>
      </w:r>
      <w:r>
        <w:rPr>
          <w:rFonts w:ascii="Times New Roman" w:hAnsi="Times New Roman" w:eastAsia="方正小标宋_GBK"/>
          <w:bCs/>
          <w:color w:val="auto"/>
          <w:kern w:val="0"/>
          <w:sz w:val="44"/>
          <w:szCs w:val="32"/>
          <w:highlight w:val="none"/>
        </w:rPr>
        <w:t>年政府信息公开工作年度报告</w:t>
      </w:r>
    </w:p>
    <w:p>
      <w:pPr>
        <w:widowControl/>
        <w:shd w:val="clear" w:color="auto" w:fill="FFFFFF"/>
        <w:adjustRightInd w:val="0"/>
        <w:snapToGrid w:val="0"/>
        <w:spacing w:line="594" w:lineRule="exact"/>
        <w:ind w:firstLine="480"/>
        <w:rPr>
          <w:rFonts w:ascii="Times New Roman" w:hAnsi="Times New Roman" w:eastAsia="方正仿宋_GBK"/>
          <w:color w:val="auto"/>
          <w:kern w:val="0"/>
          <w:sz w:val="32"/>
          <w:szCs w:val="32"/>
          <w:highlight w:val="none"/>
        </w:rPr>
      </w:pPr>
    </w:p>
    <w:p>
      <w:pPr>
        <w:pStyle w:val="6"/>
        <w:widowControl/>
        <w:spacing w:before="0" w:beforeAutospacing="0" w:after="0" w:afterAutospacing="0"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202</w:t>
      </w:r>
      <w:r>
        <w:rPr>
          <w:rFonts w:hint="eastAsia" w:ascii="Times New Roman" w:hAnsi="Times New Roman" w:eastAsia="方正仿宋_GBK"/>
          <w:color w:val="auto"/>
          <w:sz w:val="32"/>
          <w:szCs w:val="32"/>
          <w:highlight w:val="none"/>
          <w:shd w:val="clear" w:color="auto" w:fill="FFFFFF"/>
        </w:rPr>
        <w:t>2</w:t>
      </w:r>
      <w:r>
        <w:rPr>
          <w:rFonts w:ascii="Times New Roman" w:hAnsi="Times New Roman" w:eastAsia="方正仿宋_GBK"/>
          <w:color w:val="auto"/>
          <w:sz w:val="32"/>
          <w:szCs w:val="32"/>
          <w:highlight w:val="none"/>
          <w:shd w:val="clear" w:color="auto" w:fill="FFFFFF"/>
        </w:rPr>
        <w:t>年，区农业农村委根据《中华人民共和国政府信息公开条例》及信息公开相关规定，按照市、区关于政府信息公开工作的部署要求，认真落实政府信息公开工作，现将202</w:t>
      </w:r>
      <w:r>
        <w:rPr>
          <w:rFonts w:hint="eastAsia" w:ascii="Times New Roman" w:hAnsi="Times New Roman" w:eastAsia="方正仿宋_GBK"/>
          <w:color w:val="auto"/>
          <w:sz w:val="32"/>
          <w:szCs w:val="32"/>
          <w:highlight w:val="none"/>
          <w:shd w:val="clear" w:color="auto" w:fill="FFFFFF"/>
        </w:rPr>
        <w:t>2</w:t>
      </w:r>
      <w:r>
        <w:rPr>
          <w:rFonts w:ascii="Times New Roman" w:hAnsi="Times New Roman" w:eastAsia="方正仿宋_GBK"/>
          <w:color w:val="auto"/>
          <w:sz w:val="32"/>
          <w:szCs w:val="32"/>
          <w:highlight w:val="none"/>
          <w:shd w:val="clear" w:color="auto" w:fill="FFFFFF"/>
        </w:rPr>
        <w:t>年1月1日至202</w:t>
      </w:r>
      <w:r>
        <w:rPr>
          <w:rFonts w:hint="eastAsia" w:ascii="Times New Roman" w:hAnsi="Times New Roman" w:eastAsia="方正仿宋_GBK"/>
          <w:color w:val="auto"/>
          <w:sz w:val="32"/>
          <w:szCs w:val="32"/>
          <w:highlight w:val="none"/>
          <w:shd w:val="clear" w:color="auto" w:fill="FFFFFF"/>
        </w:rPr>
        <w:t>2</w:t>
      </w:r>
      <w:r>
        <w:rPr>
          <w:rFonts w:ascii="Times New Roman" w:hAnsi="Times New Roman" w:eastAsia="方正仿宋_GBK"/>
          <w:color w:val="auto"/>
          <w:sz w:val="32"/>
          <w:szCs w:val="32"/>
          <w:highlight w:val="none"/>
          <w:shd w:val="clear" w:color="auto" w:fill="FFFFFF"/>
        </w:rPr>
        <w:t>年12月31日期间沙坪坝区农业农村委政府信息公开工作情况报告如下：</w:t>
      </w:r>
    </w:p>
    <w:p>
      <w:pPr>
        <w:pStyle w:val="6"/>
        <w:widowControl/>
        <w:numPr>
          <w:ilvl w:val="0"/>
          <w:numId w:val="1"/>
        </w:numPr>
        <w:spacing w:before="0" w:beforeAutospacing="0" w:after="0" w:afterAutospacing="0" w:line="594" w:lineRule="exact"/>
        <w:ind w:firstLine="1134"/>
        <w:rPr>
          <w:rFonts w:ascii="方正黑体_GBK" w:hAnsi="方正黑体_GBK" w:eastAsia="方正黑体_GBK" w:cs="方正黑体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rPr>
        <w:t>总体情况</w:t>
      </w:r>
    </w:p>
    <w:p>
      <w:pPr>
        <w:pStyle w:val="6"/>
        <w:widowControl/>
        <w:spacing w:before="0" w:beforeAutospacing="0" w:after="0" w:afterAutospacing="0" w:line="594" w:lineRule="exact"/>
        <w:ind w:firstLine="640" w:firstLineChars="200"/>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shd w:val="clear" w:color="auto" w:fill="FFFFFF"/>
        </w:rPr>
        <w:t>（一）主动公开政府信息情况</w:t>
      </w:r>
    </w:p>
    <w:p>
      <w:pPr>
        <w:pStyle w:val="6"/>
        <w:widowControl/>
        <w:spacing w:before="0" w:beforeAutospacing="0" w:after="0" w:afterAutospacing="0" w:line="594" w:lineRule="exact"/>
        <w:ind w:firstLine="643" w:firstLineChars="200"/>
        <w:rPr>
          <w:rFonts w:ascii="Times New Roman" w:hAnsi="Times New Roman" w:eastAsia="方正仿宋_GBK"/>
          <w:color w:val="auto"/>
          <w:sz w:val="32"/>
          <w:szCs w:val="32"/>
          <w:highlight w:val="none"/>
          <w:shd w:val="clear" w:color="auto" w:fill="FFFFFF"/>
        </w:rPr>
      </w:pPr>
      <w:r>
        <w:rPr>
          <w:rFonts w:ascii="Times New Roman" w:hAnsi="Times New Roman" w:eastAsia="方正仿宋_GBK"/>
          <w:b/>
          <w:bCs/>
          <w:color w:val="auto"/>
          <w:sz w:val="32"/>
          <w:szCs w:val="32"/>
          <w:highlight w:val="none"/>
          <w:shd w:val="clear" w:color="auto" w:fill="FFFFFF"/>
        </w:rPr>
        <w:t>1.总数量：</w:t>
      </w:r>
      <w:r>
        <w:rPr>
          <w:rFonts w:hint="eastAsia" w:ascii="Times New Roman" w:hAnsi="Times New Roman" w:eastAsia="方正仿宋_GBK"/>
          <w:color w:val="auto"/>
          <w:sz w:val="32"/>
          <w:szCs w:val="32"/>
          <w:highlight w:val="none"/>
          <w:shd w:val="clear" w:color="auto" w:fill="FFFFFF"/>
        </w:rPr>
        <w:t>2022</w:t>
      </w:r>
      <w:r>
        <w:rPr>
          <w:rFonts w:ascii="Times New Roman" w:hAnsi="Times New Roman" w:eastAsia="方正仿宋_GBK"/>
          <w:color w:val="auto"/>
          <w:sz w:val="32"/>
          <w:szCs w:val="32"/>
          <w:highlight w:val="none"/>
          <w:shd w:val="clear" w:color="auto" w:fill="FFFFFF"/>
        </w:rPr>
        <w:t>年，区农业农村委主动通过“重庆市沙坪坝区人民政府”政府网站公布信息</w:t>
      </w:r>
      <w:r>
        <w:rPr>
          <w:rFonts w:hint="eastAsia" w:ascii="Times New Roman" w:hAnsi="Times New Roman" w:eastAsia="方正仿宋_GBK"/>
          <w:color w:val="auto"/>
          <w:sz w:val="32"/>
          <w:szCs w:val="32"/>
          <w:highlight w:val="none"/>
          <w:shd w:val="clear" w:color="auto" w:fill="FFFFFF"/>
        </w:rPr>
        <w:t>1198</w:t>
      </w:r>
      <w:r>
        <w:rPr>
          <w:rFonts w:ascii="Times New Roman" w:hAnsi="Times New Roman" w:eastAsia="方正仿宋_GBK"/>
          <w:color w:val="auto"/>
          <w:sz w:val="32"/>
          <w:szCs w:val="32"/>
          <w:highlight w:val="none"/>
          <w:shd w:val="clear" w:color="auto" w:fill="FFFFFF"/>
        </w:rPr>
        <w:t>条</w:t>
      </w:r>
      <w:r>
        <w:rPr>
          <w:rFonts w:hint="eastAsia" w:ascii="Times New Roman" w:hAnsi="Times New Roman" w:eastAsia="方正仿宋_GBK"/>
          <w:color w:val="auto"/>
          <w:sz w:val="32"/>
          <w:szCs w:val="32"/>
          <w:highlight w:val="none"/>
          <w:shd w:val="clear" w:color="auto" w:fill="FFFFFF"/>
        </w:rPr>
        <w:t>。</w:t>
      </w:r>
    </w:p>
    <w:p>
      <w:pPr>
        <w:pStyle w:val="6"/>
        <w:widowControl/>
        <w:spacing w:before="0" w:beforeAutospacing="0" w:after="0" w:afterAutospacing="0" w:line="594" w:lineRule="exact"/>
        <w:ind w:firstLine="643" w:firstLineChars="200"/>
        <w:rPr>
          <w:rFonts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b/>
          <w:bCs/>
          <w:color w:val="auto"/>
          <w:sz w:val="32"/>
          <w:szCs w:val="32"/>
          <w:highlight w:val="none"/>
          <w:shd w:val="clear" w:color="auto" w:fill="FFFFFF"/>
        </w:rPr>
        <w:t>2.主要类型：</w:t>
      </w:r>
      <w:r>
        <w:rPr>
          <w:rFonts w:hint="eastAsia" w:ascii="Times New Roman" w:hAnsi="Times New Roman" w:eastAsia="方正仿宋_GBK"/>
          <w:color w:val="auto"/>
          <w:sz w:val="32"/>
          <w:szCs w:val="32"/>
          <w:highlight w:val="none"/>
          <w:shd w:val="clear" w:color="auto" w:fill="FFFFFF"/>
        </w:rPr>
        <w:t>履职依据类、机关简介类、行政许可类、行政处罚类、重大项目类、重大民生类、乡村振兴类、涉农补贴类等。</w:t>
      </w:r>
    </w:p>
    <w:p>
      <w:pPr>
        <w:pStyle w:val="6"/>
        <w:widowControl/>
        <w:spacing w:before="0" w:beforeAutospacing="0" w:after="0" w:afterAutospacing="0" w:line="594" w:lineRule="exact"/>
        <w:ind w:firstLine="640" w:firstLineChars="200"/>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shd w:val="clear" w:color="auto" w:fill="FFFFFF"/>
        </w:rPr>
        <w:t>（二）依申请公开政府信息情况</w:t>
      </w:r>
    </w:p>
    <w:p>
      <w:pPr>
        <w:pStyle w:val="6"/>
        <w:widowControl/>
        <w:spacing w:before="0" w:beforeAutospacing="0" w:after="0" w:afterAutospacing="0" w:line="594" w:lineRule="exact"/>
        <w:ind w:firstLine="640" w:firstLineChars="200"/>
        <w:rPr>
          <w:rFonts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rPr>
        <w:t>区农业农村委按照《政府信息公开申请条例》原则和规定，明确专人负责政府信息公开申请，最大程度保证申请人知情权。2022</w:t>
      </w:r>
      <w:r>
        <w:rPr>
          <w:rFonts w:ascii="Times New Roman" w:hAnsi="Times New Roman" w:eastAsia="方正仿宋_GBK"/>
          <w:color w:val="auto"/>
          <w:sz w:val="32"/>
          <w:szCs w:val="32"/>
          <w:highlight w:val="none"/>
          <w:shd w:val="clear" w:color="auto" w:fill="FFFFFF"/>
        </w:rPr>
        <w:t>年，区农业农村委收到政府信息公开申请</w:t>
      </w:r>
      <w:r>
        <w:rPr>
          <w:rFonts w:hint="eastAsia" w:ascii="Times New Roman" w:hAnsi="Times New Roman" w:eastAsia="方正仿宋_GBK"/>
          <w:color w:val="auto"/>
          <w:sz w:val="32"/>
          <w:szCs w:val="32"/>
          <w:highlight w:val="none"/>
          <w:shd w:val="clear" w:color="auto" w:fill="FFFFFF"/>
        </w:rPr>
        <w:t>1次，并按要求在规定时间内予以答复。</w:t>
      </w:r>
    </w:p>
    <w:p>
      <w:pPr>
        <w:pStyle w:val="6"/>
        <w:widowControl/>
        <w:spacing w:before="0" w:beforeAutospacing="0" w:after="0" w:afterAutospacing="0" w:line="594" w:lineRule="exact"/>
        <w:ind w:firstLine="640" w:firstLineChars="200"/>
        <w:rPr>
          <w:rFonts w:ascii="方正楷体_GBK" w:hAnsi="方正楷体_GBK" w:eastAsia="方正楷体_GBK" w:cs="方正楷体_GBK"/>
          <w:color w:val="auto"/>
          <w:sz w:val="32"/>
          <w:szCs w:val="32"/>
          <w:highlight w:val="none"/>
          <w:shd w:val="clear" w:color="auto" w:fill="FFFFFF"/>
        </w:rPr>
      </w:pPr>
      <w:r>
        <w:rPr>
          <w:rFonts w:ascii="方正楷体_GBK" w:hAnsi="方正楷体_GBK" w:eastAsia="方正楷体_GBK" w:cs="方正楷体_GBK"/>
          <w:color w:val="auto"/>
          <w:sz w:val="32"/>
          <w:szCs w:val="32"/>
          <w:highlight w:val="none"/>
          <w:shd w:val="clear" w:color="auto" w:fill="FFFFFF"/>
        </w:rPr>
        <w:t>（三）政府信息管理情况</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highlight w:val="none"/>
          <w:lang w:eastAsia="zh-CN"/>
        </w:rPr>
      </w:pPr>
      <w:r>
        <w:rPr>
          <w:rFonts w:ascii="Times New Roman" w:hAnsi="Times New Roman" w:eastAsia="方正仿宋_GBK"/>
          <w:color w:val="auto"/>
          <w:sz w:val="32"/>
          <w:szCs w:val="32"/>
          <w:highlight w:val="none"/>
          <w:shd w:val="clear" w:color="auto" w:fill="FFFFFF"/>
        </w:rPr>
        <w:t>区农业农村委</w:t>
      </w:r>
      <w:r>
        <w:rPr>
          <w:rFonts w:hint="eastAsia" w:ascii="Times New Roman" w:hAnsi="Times New Roman" w:eastAsia="方正仿宋_GBK"/>
          <w:color w:val="auto"/>
          <w:sz w:val="32"/>
          <w:szCs w:val="32"/>
          <w:highlight w:val="none"/>
          <w:shd w:val="clear" w:color="auto" w:fill="FFFFFF"/>
          <w:lang w:val="en-US" w:eastAsia="zh-CN"/>
        </w:rPr>
        <w:t>贯彻落实</w:t>
      </w:r>
      <w:r>
        <w:rPr>
          <w:rFonts w:ascii="Times New Roman" w:hAnsi="Times New Roman" w:eastAsia="方正仿宋_GBK"/>
          <w:color w:val="auto"/>
          <w:sz w:val="32"/>
          <w:szCs w:val="32"/>
          <w:highlight w:val="none"/>
          <w:shd w:val="clear" w:color="auto" w:fill="FFFFFF"/>
        </w:rPr>
        <w:t>信息公开工作制度，主要负责人</w:t>
      </w:r>
      <w:r>
        <w:rPr>
          <w:rFonts w:hint="eastAsia" w:ascii="Times New Roman" w:hAnsi="Times New Roman" w:eastAsia="方正仿宋_GBK"/>
          <w:color w:val="auto"/>
          <w:sz w:val="32"/>
          <w:szCs w:val="32"/>
          <w:highlight w:val="none"/>
          <w:shd w:val="clear" w:color="auto" w:fill="FFFFFF"/>
          <w:lang w:val="en-US" w:eastAsia="zh-CN"/>
        </w:rPr>
        <w:t>高度重视、加强部署</w:t>
      </w:r>
      <w:r>
        <w:rPr>
          <w:rFonts w:hint="eastAsia" w:ascii="Times New Roman" w:hAnsi="Times New Roman" w:eastAsia="方正仿宋_GBK"/>
          <w:color w:val="auto"/>
          <w:sz w:val="32"/>
          <w:szCs w:val="32"/>
          <w:highlight w:val="none"/>
          <w:shd w:val="clear" w:color="auto" w:fill="FFFFFF"/>
          <w:lang w:eastAsia="zh-CN"/>
        </w:rPr>
        <w:t>，</w:t>
      </w:r>
      <w:r>
        <w:rPr>
          <w:rFonts w:ascii="Times New Roman" w:hAnsi="Times New Roman" w:eastAsia="方正仿宋_GBK"/>
          <w:color w:val="auto"/>
          <w:sz w:val="32"/>
          <w:szCs w:val="32"/>
          <w:highlight w:val="none"/>
          <w:shd w:val="clear" w:color="auto" w:fill="FFFFFF"/>
        </w:rPr>
        <w:t>分管负责人</w:t>
      </w:r>
      <w:r>
        <w:rPr>
          <w:rFonts w:hint="eastAsia" w:ascii="Times New Roman" w:hAnsi="Times New Roman" w:eastAsia="方正仿宋_GBK"/>
          <w:color w:val="auto"/>
          <w:sz w:val="32"/>
          <w:szCs w:val="32"/>
          <w:highlight w:val="none"/>
          <w:shd w:val="clear" w:color="auto" w:fill="FFFFFF"/>
          <w:lang w:val="en-US" w:eastAsia="zh-CN"/>
        </w:rPr>
        <w:t>严格审核、抓实抓牢，认真落实</w:t>
      </w:r>
      <w:r>
        <w:rPr>
          <w:rFonts w:hint="eastAsia" w:ascii="Times New Roman" w:hAnsi="Times New Roman" w:eastAsia="方正仿宋_GBK" w:cs="Times New Roman"/>
          <w:sz w:val="32"/>
          <w:szCs w:val="32"/>
          <w:highlight w:val="none"/>
          <w:lang w:val="en-US" w:eastAsia="zh-CN"/>
        </w:rPr>
        <w:t>信息</w:t>
      </w:r>
      <w:r>
        <w:rPr>
          <w:rFonts w:hint="default" w:ascii="Times New Roman" w:hAnsi="Times New Roman" w:eastAsia="方正仿宋_GBK" w:cs="Times New Roman"/>
          <w:sz w:val="32"/>
          <w:szCs w:val="32"/>
          <w:highlight w:val="none"/>
          <w:lang w:val="en-US" w:eastAsia="zh-CN"/>
        </w:rPr>
        <w:t>“三审三校”制度</w:t>
      </w:r>
      <w:r>
        <w:rPr>
          <w:rFonts w:hint="eastAsia" w:ascii="Times New Roman" w:hAnsi="Times New Roman" w:eastAsia="方正仿宋_GBK" w:cs="Times New Roman"/>
          <w:sz w:val="32"/>
          <w:szCs w:val="32"/>
          <w:highlight w:val="none"/>
          <w:lang w:val="en-US" w:eastAsia="zh-CN"/>
        </w:rPr>
        <w:t>，依照</w:t>
      </w:r>
      <w:r>
        <w:rPr>
          <w:rFonts w:ascii="Times New Roman" w:hAnsi="Times New Roman" w:eastAsia="方正仿宋_GBK"/>
          <w:color w:val="auto"/>
          <w:sz w:val="32"/>
          <w:szCs w:val="32"/>
          <w:highlight w:val="none"/>
          <w:shd w:val="clear" w:color="auto" w:fill="FFFFFF"/>
        </w:rPr>
        <w:t>政府信息公开的法律法规，</w:t>
      </w:r>
      <w:r>
        <w:rPr>
          <w:rFonts w:hint="eastAsia" w:ascii="Times New Roman" w:hAnsi="Times New Roman" w:eastAsia="方正仿宋_GBK"/>
          <w:color w:val="auto"/>
          <w:sz w:val="32"/>
          <w:szCs w:val="32"/>
          <w:highlight w:val="none"/>
          <w:shd w:val="clear" w:color="auto" w:fill="FFFFFF"/>
          <w:lang w:val="en-US" w:eastAsia="zh-CN"/>
        </w:rPr>
        <w:t>强化审核校对，</w:t>
      </w:r>
      <w:r>
        <w:rPr>
          <w:rFonts w:ascii="Times New Roman" w:hAnsi="Times New Roman" w:eastAsia="方正仿宋_GBK"/>
          <w:color w:val="auto"/>
          <w:sz w:val="32"/>
          <w:szCs w:val="32"/>
          <w:highlight w:val="none"/>
          <w:shd w:val="clear" w:color="auto" w:fill="FFFFFF"/>
        </w:rPr>
        <w:t>确保</w:t>
      </w:r>
      <w:r>
        <w:rPr>
          <w:rFonts w:hint="eastAsia" w:ascii="Times New Roman" w:hAnsi="Times New Roman" w:eastAsia="方正仿宋_GBK"/>
          <w:color w:val="auto"/>
          <w:sz w:val="32"/>
          <w:szCs w:val="32"/>
          <w:highlight w:val="none"/>
          <w:shd w:val="clear" w:color="auto" w:fill="FFFFFF"/>
          <w:lang w:val="en-US" w:eastAsia="zh-CN"/>
        </w:rPr>
        <w:t>门户网站</w:t>
      </w:r>
      <w:r>
        <w:rPr>
          <w:rFonts w:ascii="Times New Roman" w:hAnsi="Times New Roman" w:eastAsia="方正仿宋_GBK"/>
          <w:color w:val="auto"/>
          <w:sz w:val="32"/>
          <w:szCs w:val="32"/>
          <w:highlight w:val="none"/>
          <w:shd w:val="clear" w:color="auto" w:fill="FFFFFF"/>
        </w:rPr>
        <w:t>公开</w:t>
      </w:r>
      <w:r>
        <w:rPr>
          <w:rFonts w:hint="eastAsia" w:ascii="Times New Roman" w:hAnsi="Times New Roman" w:eastAsia="方正仿宋_GBK"/>
          <w:color w:val="auto"/>
          <w:sz w:val="32"/>
          <w:szCs w:val="32"/>
          <w:highlight w:val="none"/>
          <w:shd w:val="clear" w:color="auto" w:fill="FFFFFF"/>
          <w:lang w:val="en-US" w:eastAsia="zh-CN"/>
        </w:rPr>
        <w:t>信息的高质量、合法性</w:t>
      </w:r>
      <w:r>
        <w:rPr>
          <w:rFonts w:hint="eastAsia" w:ascii="Times New Roman" w:hAnsi="Times New Roman" w:eastAsia="方正仿宋_GBK"/>
          <w:color w:val="auto"/>
          <w:sz w:val="32"/>
          <w:szCs w:val="32"/>
          <w:highlight w:val="none"/>
          <w:shd w:val="clear" w:color="auto" w:fill="FFFFFF"/>
          <w:lang w:eastAsia="zh-CN"/>
        </w:rPr>
        <w:t>。</w:t>
      </w:r>
    </w:p>
    <w:p>
      <w:pPr>
        <w:pStyle w:val="6"/>
        <w:widowControl/>
        <w:spacing w:before="0" w:beforeAutospacing="0" w:after="0" w:afterAutospacing="0" w:line="594" w:lineRule="exact"/>
        <w:ind w:firstLine="640" w:firstLineChars="200"/>
        <w:rPr>
          <w:rFonts w:ascii="方正楷体_GBK" w:hAnsi="方正楷体_GBK" w:eastAsia="方正楷体_GBK" w:cs="方正楷体_GBK"/>
          <w:color w:val="auto"/>
          <w:sz w:val="32"/>
          <w:szCs w:val="32"/>
          <w:highlight w:val="none"/>
          <w:shd w:val="clear" w:color="auto" w:fill="FFFFFF"/>
        </w:rPr>
      </w:pPr>
      <w:r>
        <w:rPr>
          <w:rFonts w:ascii="方正楷体_GBK" w:hAnsi="方正楷体_GBK" w:eastAsia="方正楷体_GBK" w:cs="方正楷体_GBK"/>
          <w:color w:val="auto"/>
          <w:sz w:val="32"/>
          <w:szCs w:val="32"/>
          <w:highlight w:val="none"/>
          <w:shd w:val="clear" w:color="auto" w:fill="FFFFFF"/>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方正仿宋_GBK" w:cs="Times New Roman"/>
          <w:b w:val="0"/>
          <w:bCs w:val="0"/>
          <w:color w:val="auto"/>
          <w:kern w:val="0"/>
          <w:sz w:val="32"/>
          <w:szCs w:val="32"/>
          <w:highlight w:val="none"/>
          <w:shd w:val="clear" w:color="auto" w:fill="FFFFFF"/>
          <w:lang w:val="en-US" w:eastAsia="zh-CN" w:bidi="ar-SA"/>
        </w:rPr>
      </w:pPr>
      <w:r>
        <w:rPr>
          <w:rFonts w:hint="eastAsia" w:ascii="Times New Roman" w:hAnsi="Times New Roman" w:eastAsia="方正仿宋_GBK" w:cs="Times New Roman"/>
          <w:b w:val="0"/>
          <w:bCs w:val="0"/>
          <w:color w:val="auto"/>
          <w:kern w:val="0"/>
          <w:sz w:val="32"/>
          <w:szCs w:val="32"/>
          <w:highlight w:val="none"/>
          <w:shd w:val="clear" w:color="auto" w:fill="FFFFFF"/>
          <w:lang w:val="en-US" w:eastAsia="zh-CN" w:bidi="ar-SA"/>
        </w:rPr>
        <w:t>按照市乡村振兴局、市水利局、市农业农村委和区委区政府的工作要求和部署，区农业农村委对沙坪坝区政府门户网站子页面进行完善，增设涉贫涉乡村振兴等栏目，不断探索扩大公开范围，切实提升政务公开实效。</w:t>
      </w:r>
    </w:p>
    <w:p>
      <w:pPr>
        <w:pStyle w:val="6"/>
        <w:widowControl/>
        <w:spacing w:before="0" w:beforeAutospacing="0" w:after="0" w:afterAutospacing="0" w:line="594" w:lineRule="exact"/>
        <w:ind w:firstLine="640" w:firstLineChars="200"/>
        <w:rPr>
          <w:rFonts w:ascii="方正楷体_GBK" w:hAnsi="方正楷体_GBK" w:eastAsia="方正楷体_GBK" w:cs="方正楷体_GBK"/>
          <w:color w:val="auto"/>
          <w:sz w:val="32"/>
          <w:szCs w:val="32"/>
          <w:highlight w:val="none"/>
          <w:shd w:val="clear" w:color="auto" w:fill="FFFFFF"/>
        </w:rPr>
      </w:pPr>
      <w:r>
        <w:rPr>
          <w:rFonts w:ascii="方正楷体_GBK" w:hAnsi="方正楷体_GBK" w:eastAsia="方正楷体_GBK" w:cs="方正楷体_GBK"/>
          <w:color w:val="auto"/>
          <w:sz w:val="32"/>
          <w:szCs w:val="32"/>
          <w:highlight w:val="none"/>
          <w:shd w:val="clear" w:color="auto" w:fill="FFFFFF"/>
        </w:rPr>
        <w:t>（五）监督保障情况</w:t>
      </w:r>
    </w:p>
    <w:p>
      <w:pPr>
        <w:pStyle w:val="6"/>
        <w:widowControl/>
        <w:spacing w:before="0" w:beforeAutospacing="0" w:after="0" w:afterAutospacing="0"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为</w:t>
      </w:r>
      <w:r>
        <w:rPr>
          <w:rFonts w:hint="eastAsia" w:ascii="Times New Roman" w:hAnsi="Times New Roman" w:eastAsia="方正仿宋_GBK"/>
          <w:color w:val="auto"/>
          <w:sz w:val="32"/>
          <w:szCs w:val="32"/>
          <w:highlight w:val="none"/>
          <w:shd w:val="clear" w:color="auto" w:fill="FFFFFF"/>
          <w:lang w:val="en-US" w:eastAsia="zh-CN"/>
        </w:rPr>
        <w:t>有序推进</w:t>
      </w:r>
      <w:r>
        <w:rPr>
          <w:rFonts w:ascii="Times New Roman" w:hAnsi="Times New Roman" w:eastAsia="方正仿宋_GBK"/>
          <w:color w:val="auto"/>
          <w:sz w:val="32"/>
          <w:szCs w:val="32"/>
          <w:highlight w:val="none"/>
          <w:shd w:val="clear" w:color="auto" w:fill="FFFFFF"/>
        </w:rPr>
        <w:t>政府信息公开工作，区农业农村委</w:t>
      </w:r>
      <w:r>
        <w:rPr>
          <w:rFonts w:hint="eastAsia" w:ascii="Times New Roman" w:hAnsi="Times New Roman" w:eastAsia="方正仿宋_GBK"/>
          <w:color w:val="auto"/>
          <w:sz w:val="32"/>
          <w:szCs w:val="32"/>
          <w:highlight w:val="none"/>
          <w:shd w:val="clear" w:color="auto" w:fill="FFFFFF"/>
          <w:lang w:val="en-US" w:eastAsia="zh-CN"/>
        </w:rPr>
        <w:t>建立监督体系，</w:t>
      </w:r>
      <w:r>
        <w:rPr>
          <w:rFonts w:ascii="Times New Roman" w:hAnsi="Times New Roman" w:eastAsia="方正仿宋_GBK"/>
          <w:color w:val="auto"/>
          <w:sz w:val="32"/>
          <w:szCs w:val="32"/>
          <w:highlight w:val="none"/>
          <w:shd w:val="clear" w:color="auto" w:fill="FFFFFF"/>
        </w:rPr>
        <w:t>将门户网站</w:t>
      </w:r>
      <w:r>
        <w:rPr>
          <w:rFonts w:hint="eastAsia" w:ascii="Times New Roman" w:hAnsi="Times New Roman" w:eastAsia="方正仿宋_GBK"/>
          <w:color w:val="auto"/>
          <w:sz w:val="32"/>
          <w:szCs w:val="32"/>
          <w:highlight w:val="none"/>
          <w:shd w:val="clear" w:color="auto" w:fill="FFFFFF"/>
          <w:lang w:val="en-US" w:eastAsia="zh-CN"/>
        </w:rPr>
        <w:t>信息报送纳入重点工作，分解任务至各科站，并定期通报门户信息情况，</w:t>
      </w:r>
      <w:r>
        <w:rPr>
          <w:rFonts w:hint="eastAsia" w:ascii="Times New Roman" w:hAnsi="Times New Roman" w:eastAsia="方正仿宋_GBK"/>
          <w:color w:val="auto"/>
          <w:sz w:val="32"/>
          <w:szCs w:val="32"/>
          <w:highlight w:val="none"/>
          <w:shd w:val="clear" w:color="auto" w:fill="FFFFFF"/>
        </w:rPr>
        <w:t>压实责任</w:t>
      </w:r>
      <w:r>
        <w:rPr>
          <w:rFonts w:ascii="Times New Roman" w:hAnsi="Times New Roman" w:eastAsia="方正仿宋_GBK"/>
          <w:color w:val="auto"/>
          <w:sz w:val="32"/>
          <w:szCs w:val="32"/>
          <w:highlight w:val="none"/>
          <w:shd w:val="clear" w:color="auto" w:fill="FFFFFF"/>
        </w:rPr>
        <w:t>。</w:t>
      </w:r>
    </w:p>
    <w:p>
      <w:pPr>
        <w:pStyle w:val="6"/>
        <w:widowControl/>
        <w:tabs>
          <w:tab w:val="center" w:pos="4507"/>
        </w:tabs>
        <w:spacing w:before="0" w:beforeAutospacing="0" w:after="0" w:afterAutospacing="0" w:line="594" w:lineRule="exact"/>
        <w:ind w:firstLine="640" w:firstLineChars="200"/>
        <w:rPr>
          <w:rFonts w:ascii="Times New Roman" w:hAnsi="Times New Roman" w:eastAsia="方正黑体_GBK"/>
          <w:color w:val="auto"/>
          <w:sz w:val="32"/>
          <w:szCs w:val="32"/>
          <w:highlight w:val="none"/>
        </w:rPr>
      </w:pPr>
      <w:r>
        <w:rPr>
          <w:rFonts w:ascii="方正黑体_GBK" w:hAnsi="方正黑体_GBK" w:eastAsia="方正黑体_GBK" w:cs="方正黑体_GBK"/>
          <w:color w:val="auto"/>
          <w:sz w:val="32"/>
          <w:szCs w:val="32"/>
          <w:highlight w:val="none"/>
          <w:shd w:val="clear" w:color="auto" w:fill="FFFFFF"/>
        </w:rPr>
        <w:t>二、主动公开政府信息情况</w:t>
      </w:r>
      <w:r>
        <w:rPr>
          <w:rFonts w:hint="eastAsia" w:ascii="方正黑体_GBK" w:hAnsi="方正黑体_GBK" w:eastAsia="方正黑体_GBK" w:cs="方正黑体_GBK"/>
          <w:color w:val="auto"/>
          <w:sz w:val="32"/>
          <w:szCs w:val="32"/>
          <w:highlight w:val="none"/>
          <w:shd w:val="clear" w:color="auto" w:fill="FFFFFF"/>
        </w:rPr>
        <w:tab/>
      </w:r>
    </w:p>
    <w:tbl>
      <w:tblPr>
        <w:tblStyle w:val="7"/>
        <w:tblW w:w="7591"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2509"/>
        <w:gridCol w:w="1842"/>
        <w:gridCol w:w="1513"/>
        <w:gridCol w:w="172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591" w:type="dxa"/>
            <w:gridSpan w:val="4"/>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第二十条第（一）项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信息内容</w:t>
            </w:r>
          </w:p>
        </w:tc>
        <w:tc>
          <w:tcPr>
            <w:tcW w:w="1842"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本年制发件数</w:t>
            </w:r>
          </w:p>
        </w:tc>
        <w:tc>
          <w:tcPr>
            <w:tcW w:w="1513"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本年废止件数</w:t>
            </w:r>
          </w:p>
        </w:tc>
        <w:tc>
          <w:tcPr>
            <w:tcW w:w="1727"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现行有效件数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规章</w:t>
            </w:r>
          </w:p>
        </w:tc>
        <w:tc>
          <w:tcPr>
            <w:tcW w:w="1842"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0</w:t>
            </w:r>
          </w:p>
        </w:tc>
        <w:tc>
          <w:tcPr>
            <w:tcW w:w="1513"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0</w:t>
            </w:r>
          </w:p>
        </w:tc>
        <w:tc>
          <w:tcPr>
            <w:tcW w:w="1727"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行政规范性文件</w:t>
            </w:r>
          </w:p>
        </w:tc>
        <w:tc>
          <w:tcPr>
            <w:tcW w:w="1842"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0</w:t>
            </w:r>
          </w:p>
        </w:tc>
        <w:tc>
          <w:tcPr>
            <w:tcW w:w="1513"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0</w:t>
            </w:r>
          </w:p>
        </w:tc>
        <w:tc>
          <w:tcPr>
            <w:tcW w:w="1727"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591" w:type="dxa"/>
            <w:gridSpan w:val="4"/>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val="en-US" w:eastAsia="zh-CN"/>
              </w:rPr>
              <w:t>第二十条第（五）项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信息内容</w:t>
            </w:r>
          </w:p>
        </w:tc>
        <w:tc>
          <w:tcPr>
            <w:tcW w:w="5082" w:type="dxa"/>
            <w:gridSpan w:val="3"/>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行政许可</w:t>
            </w:r>
          </w:p>
        </w:tc>
        <w:tc>
          <w:tcPr>
            <w:tcW w:w="5082" w:type="dxa"/>
            <w:gridSpan w:val="3"/>
            <w:tcMar>
              <w:left w:w="17" w:type="dxa"/>
              <w:right w:w="17" w:type="dxa"/>
            </w:tcMar>
            <w:vAlign w:val="center"/>
          </w:tcPr>
          <w:p>
            <w:pPr>
              <w:spacing w:line="240" w:lineRule="exact"/>
              <w:jc w:val="center"/>
              <w:rPr>
                <w:rFonts w:hint="default"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129</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591" w:type="dxa"/>
            <w:gridSpan w:val="4"/>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第二十条第（六）项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信息内容</w:t>
            </w:r>
          </w:p>
        </w:tc>
        <w:tc>
          <w:tcPr>
            <w:tcW w:w="5082" w:type="dxa"/>
            <w:gridSpan w:val="3"/>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val="en-US" w:eastAsia="zh-CN"/>
              </w:rPr>
              <w:t>行政处罚</w:t>
            </w:r>
          </w:p>
        </w:tc>
        <w:tc>
          <w:tcPr>
            <w:tcW w:w="5082" w:type="dxa"/>
            <w:gridSpan w:val="3"/>
            <w:tcMar>
              <w:left w:w="17" w:type="dxa"/>
              <w:right w:w="17" w:type="dxa"/>
            </w:tcMar>
            <w:vAlign w:val="center"/>
          </w:tcPr>
          <w:p>
            <w:pPr>
              <w:spacing w:line="240" w:lineRule="exact"/>
              <w:jc w:val="center"/>
              <w:rPr>
                <w:rFonts w:hint="default"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val="en-US" w:eastAsia="zh-CN"/>
              </w:rPr>
              <w:t>行政强制</w:t>
            </w:r>
          </w:p>
        </w:tc>
        <w:tc>
          <w:tcPr>
            <w:tcW w:w="5082" w:type="dxa"/>
            <w:gridSpan w:val="3"/>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591" w:type="dxa"/>
            <w:gridSpan w:val="4"/>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val="en-US" w:eastAsia="zh-CN"/>
              </w:rPr>
              <w:t>第二十条第（八）项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信息内容</w:t>
            </w:r>
          </w:p>
        </w:tc>
        <w:tc>
          <w:tcPr>
            <w:tcW w:w="5082" w:type="dxa"/>
            <w:gridSpan w:val="3"/>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本年收费金额（单位：万元）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240" w:lineRule="exact"/>
              <w:jc w:val="center"/>
              <w:rPr>
                <w:rFonts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行政事业性收费</w:t>
            </w:r>
          </w:p>
        </w:tc>
        <w:tc>
          <w:tcPr>
            <w:tcW w:w="5082" w:type="dxa"/>
            <w:gridSpan w:val="3"/>
            <w:tcMar>
              <w:left w:w="17" w:type="dxa"/>
              <w:right w:w="17" w:type="dxa"/>
            </w:tcMar>
            <w:vAlign w:val="center"/>
          </w:tcPr>
          <w:p>
            <w:pPr>
              <w:spacing w:line="240" w:lineRule="exact"/>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rPr>
              <w:t>14.57</w:t>
            </w:r>
          </w:p>
        </w:tc>
      </w:tr>
    </w:tbl>
    <w:p>
      <w:pPr>
        <w:widowControl/>
        <w:shd w:val="clear" w:color="auto" w:fill="FFFFFF"/>
        <w:adjustRightInd w:val="0"/>
        <w:snapToGrid w:val="0"/>
        <w:spacing w:line="400" w:lineRule="exact"/>
        <w:ind w:firstLine="640" w:firstLineChars="200"/>
        <w:rPr>
          <w:rFonts w:ascii="Times New Roman" w:hAnsi="Times New Roman" w:eastAsia="方正黑体_GBK"/>
          <w:bCs/>
          <w:color w:val="auto"/>
          <w:kern w:val="0"/>
          <w:sz w:val="32"/>
          <w:szCs w:val="32"/>
          <w:highlight w:val="none"/>
        </w:rPr>
      </w:pPr>
      <w:r>
        <w:rPr>
          <w:rFonts w:hint="eastAsia" w:ascii="方正黑体_GBK" w:hAnsi="方正黑体_GBK" w:eastAsia="方正黑体_GBK" w:cs="方正黑体_GBK"/>
          <w:color w:val="auto"/>
          <w:kern w:val="0"/>
          <w:sz w:val="32"/>
          <w:szCs w:val="32"/>
          <w:highlight w:val="none"/>
          <w:shd w:val="clear" w:color="auto" w:fill="FFFFFF"/>
        </w:rPr>
        <w:t>三、</w:t>
      </w:r>
      <w:r>
        <w:rPr>
          <w:rFonts w:ascii="方正黑体_GBK" w:hAnsi="方正黑体_GBK" w:eastAsia="方正黑体_GBK" w:cs="方正黑体_GBK"/>
          <w:color w:val="auto"/>
          <w:kern w:val="0"/>
          <w:sz w:val="32"/>
          <w:szCs w:val="32"/>
          <w:highlight w:val="none"/>
          <w:shd w:val="clear" w:color="auto" w:fill="FFFFFF"/>
        </w:rPr>
        <w:t>收到和处理政府信息公开申请情况</w:t>
      </w:r>
    </w:p>
    <w:p>
      <w:pPr>
        <w:spacing w:line="240" w:lineRule="exact"/>
        <w:ind w:firstLine="464" w:firstLineChars="200"/>
        <w:jc w:val="center"/>
        <w:rPr>
          <w:rFonts w:ascii="Times New Roman" w:hAnsi="Times New Roman" w:eastAsia="方正黑体_GBK"/>
          <w:color w:val="auto"/>
          <w:spacing w:val="-4"/>
          <w:sz w:val="24"/>
          <w:szCs w:val="24"/>
          <w:highlight w:val="none"/>
        </w:rPr>
      </w:pPr>
    </w:p>
    <w:tbl>
      <w:tblPr>
        <w:tblStyle w:val="7"/>
        <w:tblW w:w="8901"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07"/>
        <w:gridCol w:w="861"/>
        <w:gridCol w:w="7"/>
        <w:gridCol w:w="3010"/>
        <w:gridCol w:w="625"/>
        <w:gridCol w:w="602"/>
        <w:gridCol w:w="588"/>
        <w:gridCol w:w="755"/>
        <w:gridCol w:w="756"/>
        <w:gridCol w:w="560"/>
        <w:gridCol w:w="63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trPr>
        <w:tc>
          <w:tcPr>
            <w:tcW w:w="4385" w:type="dxa"/>
            <w:gridSpan w:val="4"/>
            <w:vMerge w:val="restart"/>
            <w:tcMar>
              <w:left w:w="17" w:type="dxa"/>
              <w:right w:w="17" w:type="dxa"/>
            </w:tcMar>
            <w:vAlign w:val="center"/>
          </w:tcPr>
          <w:p>
            <w:pPr>
              <w:spacing w:line="240" w:lineRule="exact"/>
              <w:jc w:val="center"/>
              <w:rPr>
                <w:rFonts w:ascii="Times New Roman" w:hAnsi="Times New Roman" w:eastAsia="方正黑体_GBK"/>
                <w:color w:val="auto"/>
                <w:spacing w:val="-4"/>
                <w:sz w:val="24"/>
                <w:szCs w:val="24"/>
                <w:highlight w:val="none"/>
              </w:rPr>
            </w:pPr>
            <w:r>
              <w:rPr>
                <w:rFonts w:ascii="Times New Roman" w:hAnsi="Times New Roman" w:eastAsia="方正黑体_GBK"/>
                <w:color w:val="auto"/>
                <w:spacing w:val="-4"/>
                <w:sz w:val="24"/>
                <w:szCs w:val="24"/>
                <w:highlight w:val="none"/>
              </w:rPr>
              <w:t>（本列数据的勾稽关系为：第一项加第二项之和，等于第三项加第四项之和）</w:t>
            </w:r>
          </w:p>
        </w:tc>
        <w:tc>
          <w:tcPr>
            <w:tcW w:w="4516" w:type="dxa"/>
            <w:gridSpan w:val="7"/>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申请人情况</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c>
          <w:tcPr>
            <w:tcW w:w="625" w:type="dxa"/>
            <w:vMerge w:val="restart"/>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自然人</w:t>
            </w:r>
          </w:p>
        </w:tc>
        <w:tc>
          <w:tcPr>
            <w:tcW w:w="3261" w:type="dxa"/>
            <w:gridSpan w:val="5"/>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法人或其他组织</w:t>
            </w:r>
          </w:p>
        </w:tc>
        <w:tc>
          <w:tcPr>
            <w:tcW w:w="630" w:type="dxa"/>
            <w:vMerge w:val="restart"/>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总计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78" w:hRule="atLeast"/>
          <w:tblHeader/>
        </w:trPr>
        <w:tc>
          <w:tcPr>
            <w:tcW w:w="4385" w:type="dxa"/>
            <w:gridSpan w:val="4"/>
            <w:vMerge w:val="continue"/>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c>
          <w:tcPr>
            <w:tcW w:w="625" w:type="dxa"/>
            <w:vMerge w:val="continue"/>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商业企业</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科研机构</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社会公益组织</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法律服务机构</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其他</w:t>
            </w:r>
          </w:p>
        </w:tc>
        <w:tc>
          <w:tcPr>
            <w:tcW w:w="630" w:type="dxa"/>
            <w:vMerge w:val="continue"/>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32" w:hRule="atLeast"/>
        </w:trPr>
        <w:tc>
          <w:tcPr>
            <w:tcW w:w="4385" w:type="dxa"/>
            <w:gridSpan w:val="4"/>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一、本年新收政府信息公开申请数量</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1</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二、上年结转政府信息公开申请数量</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restart"/>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三、本年度办理结果</w:t>
            </w:r>
          </w:p>
        </w:tc>
        <w:tc>
          <w:tcPr>
            <w:tcW w:w="3878" w:type="dxa"/>
            <w:gridSpan w:val="3"/>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（一）予以公开</w:t>
            </w:r>
          </w:p>
        </w:tc>
        <w:tc>
          <w:tcPr>
            <w:tcW w:w="625" w:type="dxa"/>
            <w:tcMar>
              <w:left w:w="17" w:type="dxa"/>
              <w:right w:w="17" w:type="dxa"/>
            </w:tcMar>
            <w:vAlign w:val="center"/>
          </w:tcPr>
          <w:p>
            <w:pPr>
              <w:spacing w:line="240" w:lineRule="exact"/>
              <w:jc w:val="center"/>
              <w:rPr>
                <w:rFonts w:hint="eastAsia" w:ascii="Times New Roman" w:hAnsi="Times New Roman" w:eastAsia="方正黑体_GBK"/>
                <w:color w:val="auto"/>
                <w:sz w:val="24"/>
                <w:szCs w:val="24"/>
                <w:highlight w:val="none"/>
                <w:lang w:eastAsia="zh-CN"/>
              </w:rPr>
            </w:pPr>
            <w:r>
              <w:rPr>
                <w:rFonts w:hint="eastAsia" w:ascii="Times New Roman" w:hAnsi="Times New Roman" w:eastAsia="方正黑体_GBK"/>
                <w:color w:val="auto"/>
                <w:sz w:val="24"/>
                <w:szCs w:val="24"/>
                <w:highlight w:val="none"/>
                <w:lang w:val="en-US" w:eastAsia="zh-CN"/>
              </w:rPr>
              <w:t>1</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hint="eastAsia" w:ascii="Times New Roman" w:hAnsi="Times New Roman" w:eastAsia="方正黑体_GBK"/>
                <w:color w:val="auto"/>
                <w:sz w:val="24"/>
                <w:szCs w:val="24"/>
                <w:highlight w:val="none"/>
                <w:lang w:eastAsia="zh-CN"/>
              </w:rPr>
            </w:pPr>
            <w:r>
              <w:rPr>
                <w:rFonts w:hint="eastAsia" w:ascii="Times New Roman" w:hAnsi="Times New Roman" w:eastAsia="方正黑体_GBK"/>
                <w:color w:val="auto"/>
                <w:sz w:val="24"/>
                <w:szCs w:val="24"/>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24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878" w:type="dxa"/>
            <w:gridSpan w:val="3"/>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（二）部分公开（区分处理的，只计这一情形，不计其他情形）</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restart"/>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（三）不予公开</w:t>
            </w: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1.属于国家秘密</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pacing w:val="-6"/>
                <w:sz w:val="24"/>
                <w:szCs w:val="24"/>
                <w:highlight w:val="none"/>
              </w:rPr>
            </w:pPr>
            <w:r>
              <w:rPr>
                <w:rFonts w:ascii="Times New Roman" w:hAnsi="Times New Roman" w:eastAsia="方正黑体_GBK"/>
                <w:color w:val="auto"/>
                <w:spacing w:val="-6"/>
                <w:sz w:val="24"/>
                <w:szCs w:val="24"/>
                <w:highlight w:val="none"/>
              </w:rPr>
              <w:t>2.其他法律行政法规禁止公开</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3.危及“三安全一稳定”</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4.保护第三方合法权益</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5.属于三类内部事务信息</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6.属于四类过程性信息</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7.属于行政执法案卷</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8.属于行政查询事项</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restart"/>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（四）无法提供</w:t>
            </w:r>
          </w:p>
        </w:tc>
        <w:tc>
          <w:tcPr>
            <w:tcW w:w="3017" w:type="dxa"/>
            <w:gridSpan w:val="2"/>
            <w:tcMar>
              <w:left w:w="17" w:type="dxa"/>
              <w:right w:w="17" w:type="dxa"/>
            </w:tcMar>
            <w:vAlign w:val="center"/>
          </w:tcPr>
          <w:p>
            <w:pPr>
              <w:spacing w:line="240" w:lineRule="exact"/>
              <w:rPr>
                <w:rFonts w:ascii="Times New Roman" w:hAnsi="Times New Roman" w:eastAsia="方正黑体_GBK"/>
                <w:color w:val="auto"/>
                <w:spacing w:val="-4"/>
                <w:sz w:val="24"/>
                <w:szCs w:val="24"/>
                <w:highlight w:val="none"/>
              </w:rPr>
            </w:pPr>
            <w:r>
              <w:rPr>
                <w:rFonts w:ascii="Times New Roman" w:hAnsi="Times New Roman" w:eastAsia="方正黑体_GBK"/>
                <w:color w:val="auto"/>
                <w:spacing w:val="-4"/>
                <w:sz w:val="24"/>
                <w:szCs w:val="24"/>
                <w:highlight w:val="none"/>
              </w:rPr>
              <w:t>1.本机关不掌握相关政府信息</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pacing w:val="-4"/>
                <w:sz w:val="24"/>
                <w:szCs w:val="24"/>
                <w:highlight w:val="none"/>
              </w:rPr>
            </w:pPr>
            <w:r>
              <w:rPr>
                <w:rFonts w:ascii="Times New Roman" w:hAnsi="Times New Roman" w:eastAsia="方正黑体_GBK"/>
                <w:color w:val="auto"/>
                <w:spacing w:val="-4"/>
                <w:sz w:val="24"/>
                <w:szCs w:val="24"/>
                <w:highlight w:val="none"/>
              </w:rPr>
              <w:t>2.没有现成信息需要另行制作</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67"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3.补正后申请内容仍不明确</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restart"/>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（五）不予处理</w:t>
            </w: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1.信访举报投诉类申请</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2.重复申请</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3.要求提供公开出版物</w:t>
            </w:r>
          </w:p>
        </w:tc>
        <w:tc>
          <w:tcPr>
            <w:tcW w:w="625" w:type="dxa"/>
            <w:tcMar>
              <w:left w:w="17" w:type="dxa"/>
              <w:right w:w="17" w:type="dxa"/>
            </w:tcMar>
            <w:vAlign w:val="center"/>
          </w:tcPr>
          <w:p>
            <w:pPr>
              <w:spacing w:line="240" w:lineRule="exact"/>
              <w:jc w:val="center"/>
              <w:rPr>
                <w:rFonts w:hint="eastAsia" w:ascii="Times New Roman" w:hAnsi="Times New Roman" w:eastAsia="方正黑体_GBK"/>
                <w:color w:val="auto"/>
                <w:sz w:val="24"/>
                <w:szCs w:val="24"/>
                <w:highlight w:val="none"/>
                <w:lang w:eastAsia="zh-CN"/>
              </w:rPr>
            </w:pPr>
            <w:r>
              <w:rPr>
                <w:rFonts w:hint="eastAsia" w:ascii="Times New Roman" w:hAnsi="Times New Roman" w:eastAsia="方正黑体_GBK"/>
                <w:color w:val="auto"/>
                <w:sz w:val="24"/>
                <w:szCs w:val="24"/>
                <w:highlight w:val="none"/>
                <w:lang w:val="en-US" w:eastAsia="zh-CN"/>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hint="eastAsia" w:ascii="Times New Roman" w:hAnsi="Times New Roman" w:eastAsia="方正黑体_GBK"/>
                <w:color w:val="auto"/>
                <w:sz w:val="24"/>
                <w:szCs w:val="24"/>
                <w:highlight w:val="none"/>
                <w:lang w:eastAsia="zh-CN"/>
              </w:rPr>
            </w:pPr>
            <w:r>
              <w:rPr>
                <w:rFonts w:hint="eastAsia" w:ascii="Times New Roman" w:hAnsi="Times New Roman" w:eastAsia="方正黑体_GBK"/>
                <w:color w:val="auto"/>
                <w:sz w:val="24"/>
                <w:szCs w:val="24"/>
                <w:highlight w:val="none"/>
                <w:lang w:val="en-US" w:eastAsia="zh-CN"/>
              </w:rPr>
              <w:t>0</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4.无正当理由大量反复申请</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1"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7" w:type="dxa"/>
            <w:gridSpan w:val="2"/>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5.要求行政机关确认或重新出具已获取信息</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782"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868" w:type="dxa"/>
            <w:gridSpan w:val="2"/>
            <w:vMerge w:val="restart"/>
            <w:tcBorders>
              <w:right w:val="single" w:color="auto" w:sz="4" w:space="0"/>
            </w:tcBorders>
            <w:tcMar>
              <w:left w:w="17" w:type="dxa"/>
              <w:right w:w="17" w:type="dxa"/>
            </w:tcMar>
            <w:vAlign w:val="center"/>
          </w:tcPr>
          <w:p>
            <w:pPr>
              <w:widowControl/>
              <w:spacing w:line="240" w:lineRule="exact"/>
              <w:jc w:val="lef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（六）其他处理</w:t>
            </w:r>
          </w:p>
        </w:tc>
        <w:tc>
          <w:tcPr>
            <w:tcW w:w="3010" w:type="dxa"/>
            <w:tcBorders>
              <w:left w:val="single" w:color="auto" w:sz="4" w:space="0"/>
            </w:tcBorders>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1.申请人无正当理由逾期不补正、行政机关不再处理其政府信息公开申请</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018" w:hRule="atLeast"/>
        </w:trPr>
        <w:tc>
          <w:tcPr>
            <w:tcW w:w="507" w:type="dxa"/>
            <w:vMerge w:val="continue"/>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c>
          <w:tcPr>
            <w:tcW w:w="868" w:type="dxa"/>
            <w:gridSpan w:val="2"/>
            <w:vMerge w:val="continue"/>
            <w:tcBorders>
              <w:right w:val="single" w:color="auto" w:sz="4" w:space="0"/>
            </w:tcBorders>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010" w:type="dxa"/>
            <w:tcBorders>
              <w:left w:val="single" w:color="auto" w:sz="4" w:space="0"/>
            </w:tcBorders>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2.申请人逾期未按收费通知要求缴纳费用、行政机关不再处理其政府信息公开申请</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81" w:hRule="atLeast"/>
        </w:trPr>
        <w:tc>
          <w:tcPr>
            <w:tcW w:w="507" w:type="dxa"/>
            <w:vMerge w:val="continue"/>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c>
          <w:tcPr>
            <w:tcW w:w="868" w:type="dxa"/>
            <w:gridSpan w:val="2"/>
            <w:vMerge w:val="continue"/>
            <w:tcBorders>
              <w:right w:val="single" w:color="auto" w:sz="4" w:space="0"/>
            </w:tcBorders>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p>
        </w:tc>
        <w:tc>
          <w:tcPr>
            <w:tcW w:w="3010" w:type="dxa"/>
            <w:tcBorders>
              <w:left w:val="single" w:color="auto" w:sz="4" w:space="0"/>
            </w:tcBorders>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3.其他</w:t>
            </w:r>
          </w:p>
        </w:tc>
        <w:tc>
          <w:tcPr>
            <w:tcW w:w="625" w:type="dxa"/>
            <w:tcMar>
              <w:left w:w="17" w:type="dxa"/>
              <w:right w:w="17" w:type="dxa"/>
            </w:tcMar>
            <w:vAlign w:val="center"/>
          </w:tcPr>
          <w:p>
            <w:pPr>
              <w:spacing w:line="240" w:lineRule="exact"/>
              <w:jc w:val="center"/>
              <w:rPr>
                <w:rFonts w:hint="eastAsia" w:ascii="Times New Roman" w:hAnsi="Times New Roman" w:eastAsia="方正黑体_GBK"/>
                <w:color w:val="auto"/>
                <w:sz w:val="24"/>
                <w:szCs w:val="24"/>
                <w:highlight w:val="none"/>
                <w:lang w:val="en-US" w:eastAsia="zh-CN"/>
              </w:rPr>
            </w:pPr>
            <w:r>
              <w:rPr>
                <w:rFonts w:hint="eastAsia" w:ascii="Times New Roman" w:hAnsi="Times New Roman" w:eastAsia="方正黑体_GBK"/>
                <w:color w:val="auto"/>
                <w:sz w:val="24"/>
                <w:szCs w:val="24"/>
                <w:highlight w:val="none"/>
                <w:lang w:val="en-US" w:eastAsia="zh-CN"/>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hint="eastAsia" w:ascii="Times New Roman" w:hAnsi="Times New Roman" w:eastAsia="方正黑体_GBK"/>
                <w:color w:val="auto"/>
                <w:sz w:val="24"/>
                <w:szCs w:val="24"/>
                <w:highlight w:val="none"/>
                <w:lang w:val="en-US" w:eastAsia="zh-CN"/>
              </w:rPr>
            </w:pPr>
            <w:r>
              <w:rPr>
                <w:rFonts w:hint="eastAsia" w:ascii="Times New Roman" w:hAnsi="Times New Roman" w:eastAsia="方正黑体_GBK"/>
                <w:color w:val="auto"/>
                <w:sz w:val="24"/>
                <w:szCs w:val="24"/>
                <w:highlight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86" w:hRule="atLeast"/>
        </w:trPr>
        <w:tc>
          <w:tcPr>
            <w:tcW w:w="507" w:type="dxa"/>
            <w:vMerge w:val="continue"/>
            <w:tcMar>
              <w:left w:w="17" w:type="dxa"/>
              <w:right w:w="17" w:type="dxa"/>
            </w:tcMar>
            <w:vAlign w:val="center"/>
          </w:tcPr>
          <w:p>
            <w:pPr>
              <w:spacing w:line="240" w:lineRule="exact"/>
              <w:rPr>
                <w:rFonts w:ascii="Times New Roman" w:hAnsi="Times New Roman" w:eastAsia="方正黑体_GBK"/>
                <w:color w:val="auto"/>
                <w:sz w:val="24"/>
                <w:szCs w:val="24"/>
                <w:highlight w:val="none"/>
              </w:rPr>
            </w:pPr>
          </w:p>
        </w:tc>
        <w:tc>
          <w:tcPr>
            <w:tcW w:w="3878" w:type="dxa"/>
            <w:gridSpan w:val="3"/>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（七）总计</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1</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77" w:hRule="atLeast"/>
        </w:trPr>
        <w:tc>
          <w:tcPr>
            <w:tcW w:w="4385" w:type="dxa"/>
            <w:gridSpan w:val="4"/>
            <w:tcMar>
              <w:left w:w="17" w:type="dxa"/>
              <w:right w:w="17" w:type="dxa"/>
            </w:tcMar>
            <w:vAlign w:val="center"/>
          </w:tcPr>
          <w:p>
            <w:pPr>
              <w:spacing w:line="240" w:lineRule="exact"/>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四、结转下年度继续办理</w:t>
            </w:r>
          </w:p>
        </w:tc>
        <w:tc>
          <w:tcPr>
            <w:tcW w:w="62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02"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88"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5"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756"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56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c>
          <w:tcPr>
            <w:tcW w:w="630" w:type="dxa"/>
            <w:tcMar>
              <w:left w:w="17" w:type="dxa"/>
              <w:right w:w="17" w:type="dxa"/>
            </w:tcMar>
            <w:vAlign w:val="center"/>
          </w:tcPr>
          <w:p>
            <w:pPr>
              <w:spacing w:line="240" w:lineRule="exact"/>
              <w:jc w:val="center"/>
              <w:rPr>
                <w:rFonts w:ascii="Times New Roman" w:hAnsi="Times New Roman" w:eastAsia="方正黑体_GBK"/>
                <w:color w:val="auto"/>
                <w:sz w:val="24"/>
                <w:szCs w:val="24"/>
                <w:highlight w:val="none"/>
              </w:rPr>
            </w:pPr>
            <w:r>
              <w:rPr>
                <w:rFonts w:hint="eastAsia" w:ascii="Times New Roman" w:hAnsi="Times New Roman" w:eastAsia="方正黑体_GBK"/>
                <w:color w:val="auto"/>
                <w:sz w:val="24"/>
                <w:szCs w:val="24"/>
                <w:highlight w:val="none"/>
              </w:rPr>
              <w:t>0</w:t>
            </w:r>
          </w:p>
        </w:tc>
      </w:tr>
    </w:tbl>
    <w:p>
      <w:pPr>
        <w:pStyle w:val="2"/>
        <w:spacing w:line="400" w:lineRule="exact"/>
        <w:rPr>
          <w:rFonts w:ascii="Times New Roman" w:hAnsi="Times New Roman" w:cs="Times New Roman"/>
          <w:color w:val="auto"/>
          <w:sz w:val="32"/>
          <w:szCs w:val="32"/>
          <w:highlight w:val="none"/>
        </w:rPr>
      </w:pPr>
    </w:p>
    <w:p>
      <w:pPr>
        <w:widowControl/>
        <w:shd w:val="clear" w:color="auto" w:fill="FFFFFF"/>
        <w:adjustRightInd w:val="0"/>
        <w:snapToGrid w:val="0"/>
        <w:spacing w:line="400" w:lineRule="exact"/>
        <w:ind w:firstLine="480"/>
        <w:rPr>
          <w:rFonts w:ascii="方正黑体_GBK" w:hAnsi="方正黑体_GBK" w:eastAsia="方正黑体_GBK" w:cs="方正黑体_GBK"/>
          <w:bCs/>
          <w:color w:val="auto"/>
          <w:kern w:val="0"/>
          <w:sz w:val="32"/>
          <w:szCs w:val="32"/>
          <w:highlight w:val="none"/>
        </w:rPr>
      </w:pPr>
      <w:r>
        <w:rPr>
          <w:rFonts w:hint="eastAsia" w:ascii="方正黑体_GBK" w:hAnsi="方正黑体_GBK" w:eastAsia="方正黑体_GBK" w:cs="方正黑体_GBK"/>
          <w:bCs/>
          <w:color w:val="auto"/>
          <w:kern w:val="0"/>
          <w:sz w:val="32"/>
          <w:szCs w:val="32"/>
          <w:highlight w:val="none"/>
        </w:rPr>
        <w:t>四、政府信息公开行政复议、行政诉讼情况</w:t>
      </w:r>
    </w:p>
    <w:tbl>
      <w:tblPr>
        <w:tblStyle w:val="7"/>
        <w:tblW w:w="0" w:type="auto"/>
        <w:jc w:val="center"/>
        <w:tblLayout w:type="fixed"/>
        <w:tblCellMar>
          <w:top w:w="0" w:type="dxa"/>
          <w:left w:w="0" w:type="dxa"/>
          <w:bottom w:w="0" w:type="dxa"/>
          <w:right w:w="0" w:type="dxa"/>
        </w:tblCellMar>
      </w:tblPr>
      <w:tblGrid>
        <w:gridCol w:w="633"/>
        <w:gridCol w:w="586"/>
        <w:gridCol w:w="618"/>
        <w:gridCol w:w="586"/>
        <w:gridCol w:w="651"/>
        <w:gridCol w:w="533"/>
        <w:gridCol w:w="586"/>
        <w:gridCol w:w="586"/>
        <w:gridCol w:w="586"/>
        <w:gridCol w:w="477"/>
        <w:gridCol w:w="586"/>
        <w:gridCol w:w="586"/>
        <w:gridCol w:w="586"/>
        <w:gridCol w:w="588"/>
        <w:gridCol w:w="883"/>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行政诉讼</w:t>
            </w:r>
          </w:p>
        </w:tc>
      </w:tr>
      <w:tr>
        <w:tblPrEx>
          <w:tblCellMar>
            <w:top w:w="0" w:type="dxa"/>
            <w:left w:w="0" w:type="dxa"/>
            <w:bottom w:w="0" w:type="dxa"/>
            <w:right w:w="0" w:type="dxa"/>
          </w:tblCellMar>
        </w:tblPrEx>
        <w:trPr>
          <w:jc w:val="center"/>
        </w:trPr>
        <w:tc>
          <w:tcPr>
            <w:tcW w:w="63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结果维持</w:t>
            </w:r>
          </w:p>
        </w:tc>
        <w:tc>
          <w:tcPr>
            <w:tcW w:w="58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结果纠正</w:t>
            </w:r>
          </w:p>
        </w:tc>
        <w:tc>
          <w:tcPr>
            <w:tcW w:w="61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其他结果</w:t>
            </w:r>
          </w:p>
        </w:tc>
        <w:tc>
          <w:tcPr>
            <w:tcW w:w="58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尚未审结</w:t>
            </w:r>
          </w:p>
        </w:tc>
        <w:tc>
          <w:tcPr>
            <w:tcW w:w="65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总计</w:t>
            </w:r>
          </w:p>
        </w:tc>
        <w:tc>
          <w:tcPr>
            <w:tcW w:w="276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未经复议直接起诉</w:t>
            </w:r>
          </w:p>
        </w:tc>
        <w:tc>
          <w:tcPr>
            <w:tcW w:w="322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复议后起诉</w:t>
            </w:r>
          </w:p>
        </w:tc>
      </w:tr>
      <w:tr>
        <w:tblPrEx>
          <w:tblCellMar>
            <w:top w:w="0" w:type="dxa"/>
            <w:left w:w="0" w:type="dxa"/>
            <w:bottom w:w="0" w:type="dxa"/>
            <w:right w:w="0" w:type="dxa"/>
          </w:tblCellMar>
        </w:tblPrEx>
        <w:trPr>
          <w:jc w:val="center"/>
        </w:trPr>
        <w:tc>
          <w:tcPr>
            <w:tcW w:w="633" w:type="dxa"/>
            <w:vMerge w:val="continue"/>
            <w:tcBorders>
              <w:top w:val="nil"/>
              <w:left w:val="single" w:color="auto" w:sz="8" w:space="0"/>
              <w:bottom w:val="single" w:color="auto" w:sz="8" w:space="0"/>
              <w:right w:val="single" w:color="auto" w:sz="8" w:space="0"/>
            </w:tcBorders>
            <w:vAlign w:val="center"/>
          </w:tcPr>
          <w:p>
            <w:pPr>
              <w:spacing w:line="240" w:lineRule="exact"/>
              <w:jc w:val="center"/>
              <w:rPr>
                <w:rFonts w:ascii="Times New Roman" w:hAnsi="Times New Roman" w:eastAsia="方正黑体_GBK"/>
                <w:color w:val="auto"/>
                <w:sz w:val="24"/>
                <w:szCs w:val="24"/>
                <w:highlight w:val="none"/>
              </w:rPr>
            </w:pPr>
          </w:p>
        </w:tc>
        <w:tc>
          <w:tcPr>
            <w:tcW w:w="586" w:type="dxa"/>
            <w:vMerge w:val="continue"/>
            <w:tcBorders>
              <w:top w:val="nil"/>
              <w:left w:val="nil"/>
              <w:bottom w:val="single" w:color="auto" w:sz="8" w:space="0"/>
              <w:right w:val="single" w:color="auto" w:sz="8" w:space="0"/>
            </w:tcBorders>
            <w:vAlign w:val="center"/>
          </w:tcPr>
          <w:p>
            <w:pPr>
              <w:spacing w:line="240" w:lineRule="exact"/>
              <w:jc w:val="center"/>
              <w:rPr>
                <w:rFonts w:ascii="Times New Roman" w:hAnsi="Times New Roman" w:eastAsia="方正黑体_GBK"/>
                <w:color w:val="auto"/>
                <w:sz w:val="24"/>
                <w:szCs w:val="24"/>
                <w:highlight w:val="none"/>
              </w:rPr>
            </w:pPr>
          </w:p>
        </w:tc>
        <w:tc>
          <w:tcPr>
            <w:tcW w:w="618" w:type="dxa"/>
            <w:vMerge w:val="continue"/>
            <w:tcBorders>
              <w:top w:val="single" w:color="auto" w:sz="8" w:space="0"/>
              <w:left w:val="nil"/>
              <w:bottom w:val="single" w:color="auto" w:sz="8" w:space="0"/>
              <w:right w:val="single" w:color="auto" w:sz="8" w:space="0"/>
            </w:tcBorders>
            <w:vAlign w:val="center"/>
          </w:tcPr>
          <w:p>
            <w:pPr>
              <w:spacing w:line="240" w:lineRule="exact"/>
              <w:jc w:val="center"/>
              <w:rPr>
                <w:rFonts w:ascii="Times New Roman" w:hAnsi="Times New Roman" w:eastAsia="方正黑体_GBK"/>
                <w:color w:val="auto"/>
                <w:sz w:val="24"/>
                <w:szCs w:val="24"/>
                <w:highlight w:val="none"/>
              </w:rPr>
            </w:pPr>
          </w:p>
        </w:tc>
        <w:tc>
          <w:tcPr>
            <w:tcW w:w="586" w:type="dxa"/>
            <w:vMerge w:val="continue"/>
            <w:tcBorders>
              <w:top w:val="single" w:color="auto" w:sz="8" w:space="0"/>
              <w:left w:val="nil"/>
              <w:bottom w:val="single" w:color="auto" w:sz="8" w:space="0"/>
              <w:right w:val="single" w:color="auto" w:sz="8" w:space="0"/>
            </w:tcBorders>
            <w:vAlign w:val="center"/>
          </w:tcPr>
          <w:p>
            <w:pPr>
              <w:spacing w:line="240" w:lineRule="exact"/>
              <w:jc w:val="center"/>
              <w:rPr>
                <w:rFonts w:ascii="Times New Roman" w:hAnsi="Times New Roman" w:eastAsia="方正黑体_GBK"/>
                <w:color w:val="auto"/>
                <w:sz w:val="24"/>
                <w:szCs w:val="24"/>
                <w:highlight w:val="none"/>
              </w:rPr>
            </w:pPr>
          </w:p>
        </w:tc>
        <w:tc>
          <w:tcPr>
            <w:tcW w:w="651" w:type="dxa"/>
            <w:vMerge w:val="continue"/>
            <w:tcBorders>
              <w:top w:val="single" w:color="auto" w:sz="8" w:space="0"/>
              <w:left w:val="nil"/>
              <w:bottom w:val="single" w:color="auto" w:sz="8" w:space="0"/>
              <w:right w:val="single" w:color="auto" w:sz="8" w:space="0"/>
            </w:tcBorders>
            <w:vAlign w:val="center"/>
          </w:tcPr>
          <w:p>
            <w:pPr>
              <w:spacing w:line="240" w:lineRule="exact"/>
              <w:jc w:val="center"/>
              <w:rPr>
                <w:rFonts w:ascii="Times New Roman" w:hAnsi="Times New Roman" w:eastAsia="方正黑体_GBK"/>
                <w:color w:val="auto"/>
                <w:sz w:val="24"/>
                <w:szCs w:val="24"/>
                <w:highlight w:val="none"/>
              </w:rPr>
            </w:pP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结果维持</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结果纠正</w:t>
            </w:r>
          </w:p>
        </w:tc>
        <w:tc>
          <w:tcPr>
            <w:tcW w:w="5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其他结果</w:t>
            </w:r>
          </w:p>
        </w:tc>
        <w:tc>
          <w:tcPr>
            <w:tcW w:w="5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尚未审结</w:t>
            </w:r>
          </w:p>
        </w:tc>
        <w:tc>
          <w:tcPr>
            <w:tcW w:w="4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总计</w:t>
            </w:r>
          </w:p>
        </w:tc>
        <w:tc>
          <w:tcPr>
            <w:tcW w:w="5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结果维持</w:t>
            </w:r>
          </w:p>
        </w:tc>
        <w:tc>
          <w:tcPr>
            <w:tcW w:w="5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结果纠正</w:t>
            </w:r>
          </w:p>
        </w:tc>
        <w:tc>
          <w:tcPr>
            <w:tcW w:w="5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其他结果</w:t>
            </w:r>
          </w:p>
        </w:tc>
        <w:tc>
          <w:tcPr>
            <w:tcW w:w="5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尚未审结</w:t>
            </w:r>
          </w:p>
        </w:tc>
        <w:tc>
          <w:tcPr>
            <w:tcW w:w="8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ascii="Times New Roman" w:hAnsi="Times New Roman" w:eastAsia="方正黑体_GBK"/>
                <w:color w:val="auto"/>
                <w:sz w:val="24"/>
                <w:szCs w:val="24"/>
                <w:highlight w:val="none"/>
              </w:rPr>
            </w:pPr>
            <w:r>
              <w:rPr>
                <w:rFonts w:ascii="Times New Roman" w:hAnsi="Times New Roman" w:eastAsia="方正黑体_GBK"/>
                <w:color w:val="auto"/>
                <w:sz w:val="24"/>
                <w:szCs w:val="24"/>
                <w:highlight w:val="none"/>
              </w:rPr>
              <w:t>总计</w:t>
            </w:r>
          </w:p>
        </w:tc>
      </w:tr>
      <w:tr>
        <w:tblPrEx>
          <w:tblCellMar>
            <w:top w:w="0" w:type="dxa"/>
            <w:left w:w="0" w:type="dxa"/>
            <w:bottom w:w="0" w:type="dxa"/>
            <w:right w:w="0" w:type="dxa"/>
          </w:tblCellMar>
        </w:tblPrEx>
        <w:trPr>
          <w:trHeight w:val="697" w:hRule="atLeast"/>
          <w:jc w:val="center"/>
        </w:trPr>
        <w:tc>
          <w:tcPr>
            <w:tcW w:w="6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47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0</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hint="eastAsia" w:ascii="Times New Roman" w:hAnsi="Times New Roman" w:eastAsia="方正仿宋_GBK"/>
                <w:color w:val="auto"/>
                <w:kern w:val="0"/>
                <w:sz w:val="24"/>
                <w:szCs w:val="24"/>
                <w:highlight w:val="none"/>
                <w:lang w:eastAsia="zh-CN"/>
              </w:rPr>
            </w:pPr>
            <w:r>
              <w:rPr>
                <w:rFonts w:hint="eastAsia" w:ascii="Times New Roman" w:hAnsi="Times New Roman" w:eastAsia="方正仿宋_GBK"/>
                <w:color w:val="auto"/>
                <w:kern w:val="0"/>
                <w:sz w:val="24"/>
                <w:szCs w:val="24"/>
                <w:highlight w:val="none"/>
                <w:lang w:val="en-US" w:eastAsia="zh-CN"/>
              </w:rPr>
              <w:t>0</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hint="eastAsia" w:ascii="Times New Roman" w:hAnsi="Times New Roman" w:eastAsia="方正仿宋_GBK"/>
                <w:color w:val="auto"/>
                <w:kern w:val="0"/>
                <w:sz w:val="24"/>
                <w:szCs w:val="24"/>
                <w:highlight w:val="none"/>
                <w:lang w:eastAsia="zh-CN"/>
              </w:rPr>
            </w:pPr>
            <w:r>
              <w:rPr>
                <w:rFonts w:hint="eastAsia" w:ascii="Times New Roman" w:hAnsi="Times New Roman" w:eastAsia="方正仿宋_GBK"/>
                <w:color w:val="auto"/>
                <w:kern w:val="0"/>
                <w:sz w:val="24"/>
                <w:szCs w:val="24"/>
                <w:highlight w:val="none"/>
                <w:lang w:val="en-US" w:eastAsia="zh-CN"/>
              </w:rPr>
              <w:t>0</w:t>
            </w:r>
          </w:p>
        </w:tc>
      </w:tr>
    </w:tbl>
    <w:p>
      <w:pPr>
        <w:pStyle w:val="6"/>
        <w:widowControl/>
        <w:shd w:val="clear" w:color="auto" w:fill="FFFFFF"/>
        <w:spacing w:before="0" w:beforeAutospacing="0" w:after="0" w:afterAutospacing="0" w:line="594" w:lineRule="exact"/>
        <w:ind w:firstLine="640" w:firstLineChars="200"/>
        <w:rPr>
          <w:rFonts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五、</w:t>
      </w:r>
      <w:r>
        <w:rPr>
          <w:rFonts w:ascii="方正黑体_GBK" w:hAnsi="方正黑体_GBK" w:eastAsia="方正黑体_GBK" w:cs="方正黑体_GBK"/>
          <w:bCs/>
          <w:color w:val="auto"/>
          <w:sz w:val="32"/>
          <w:szCs w:val="32"/>
          <w:highlight w:val="none"/>
        </w:rPr>
        <w:t>当前存在的主要问题及下步改进措施</w:t>
      </w:r>
    </w:p>
    <w:p>
      <w:pPr>
        <w:pStyle w:val="6"/>
        <w:widowControl/>
        <w:shd w:val="clear" w:color="auto" w:fill="FFFFFF"/>
        <w:spacing w:before="0" w:beforeAutospacing="0" w:after="0" w:afterAutospacing="0" w:line="594" w:lineRule="exact"/>
        <w:ind w:firstLine="640" w:firstLineChars="200"/>
        <w:rPr>
          <w:rFonts w:hint="eastAsia" w:ascii="方正仿宋_GBK" w:hAnsi="方正仿宋_GBK" w:eastAsia="方正仿宋_GBK" w:cs="方正仿宋_GBK"/>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1.公开</w:t>
      </w:r>
      <w:r>
        <w:rPr>
          <w:rFonts w:hint="eastAsia" w:ascii="方正仿宋_GBK" w:hAnsi="方正仿宋_GBK" w:eastAsia="方正仿宋_GBK" w:cs="方正仿宋_GBK"/>
          <w:color w:val="auto"/>
          <w:kern w:val="2"/>
          <w:sz w:val="32"/>
          <w:szCs w:val="22"/>
          <w:highlight w:val="none"/>
          <w:lang w:val="en-US" w:eastAsia="zh-CN" w:bidi="ar-SA"/>
        </w:rPr>
        <w:t>属性仍需强化，部分科室对于公开属性未能深入理解，一定程度上还存在着“不敢公开、不愿公开”的思想。 加强与各科站沟通，反复强调公开属性以加深各科室公开属性的认识。</w:t>
      </w:r>
    </w:p>
    <w:p>
      <w:pPr>
        <w:spacing w:line="570" w:lineRule="exact"/>
        <w:ind w:firstLine="640" w:firstLineChars="200"/>
        <w:jc w:val="left"/>
        <w:rPr>
          <w:rFonts w:ascii="方正仿宋_GBK" w:hAnsi="方正仿宋_GBK" w:eastAsia="方正仿宋_GBK" w:cs="方正仿宋_GBK"/>
          <w:color w:val="auto"/>
          <w:sz w:val="32"/>
          <w:highlight w:val="none"/>
        </w:rPr>
      </w:pPr>
      <w:r>
        <w:rPr>
          <w:rFonts w:ascii="Times New Roman" w:hAnsi="Times New Roman" w:eastAsia="方正仿宋_GBK"/>
          <w:color w:val="auto"/>
          <w:sz w:val="32"/>
          <w:szCs w:val="32"/>
          <w:highlight w:val="none"/>
        </w:rPr>
        <w:t>2.</w:t>
      </w:r>
      <w:r>
        <w:rPr>
          <w:rFonts w:hint="eastAsia" w:ascii="方正仿宋_GBK" w:hAnsi="方正仿宋_GBK" w:eastAsia="方正仿宋_GBK" w:cs="方正仿宋_GBK"/>
          <w:color w:val="auto"/>
          <w:sz w:val="32"/>
          <w:highlight w:val="none"/>
        </w:rPr>
        <w:t>信息公开内容不够全面，对公众关心的热点、焦点问题信息关注不够。将进一步利用工作动态等栏目将群众关心的方面充分展示，在体现工作情况的同时，结合群众需求进行信息公开。</w:t>
      </w:r>
    </w:p>
    <w:p>
      <w:pPr>
        <w:spacing w:line="570" w:lineRule="exact"/>
        <w:ind w:firstLine="640" w:firstLineChars="200"/>
        <w:jc w:val="left"/>
        <w:rPr>
          <w:rFonts w:ascii="方正仿宋_GBK" w:hAnsi="方正仿宋_GBK" w:eastAsia="方正仿宋_GBK" w:cs="方正仿宋_GBK"/>
          <w:color w:val="auto"/>
          <w:sz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rPr>
        <w:t>群</w:t>
      </w:r>
      <w:r>
        <w:rPr>
          <w:rFonts w:hint="eastAsia" w:ascii="方正仿宋_GBK" w:hAnsi="方正仿宋_GBK" w:eastAsia="方正仿宋_GBK" w:cs="方正仿宋_GBK"/>
          <w:color w:val="auto"/>
          <w:sz w:val="32"/>
          <w:highlight w:val="none"/>
        </w:rPr>
        <w:t>众知晓度低、参与感弱，大部分群众更倾向通过微信</w:t>
      </w:r>
      <w:r>
        <w:rPr>
          <w:rFonts w:hint="eastAsia" w:ascii="方正仿宋_GBK" w:hAnsi="方正仿宋_GBK" w:eastAsia="方正仿宋_GBK" w:cs="方正仿宋_GBK"/>
          <w:color w:val="auto"/>
          <w:sz w:val="32"/>
          <w:highlight w:val="none"/>
          <w:lang w:val="en-US" w:eastAsia="zh-CN"/>
        </w:rPr>
        <w:t>群</w:t>
      </w:r>
      <w:r>
        <w:rPr>
          <w:rFonts w:hint="eastAsia" w:ascii="方正仿宋_GBK" w:hAnsi="方正仿宋_GBK" w:eastAsia="方正仿宋_GBK" w:cs="方正仿宋_GBK"/>
          <w:color w:val="auto"/>
          <w:sz w:val="32"/>
          <w:highlight w:val="none"/>
        </w:rPr>
        <w:t>、张贴栏等了解信息，较少通过门户网站获取政务信息。将立足直接服务人民群众的实际，加强宣传，打通服务群众的“最后一公里”，使政务公开家喻户晓、深入人心。</w:t>
      </w:r>
    </w:p>
    <w:p>
      <w:pPr>
        <w:widowControl/>
        <w:shd w:val="clear" w:color="auto" w:fill="FFFFFF"/>
        <w:adjustRightInd w:val="0"/>
        <w:snapToGrid w:val="0"/>
        <w:spacing w:line="594" w:lineRule="exact"/>
        <w:ind w:firstLine="640" w:firstLineChars="200"/>
        <w:rPr>
          <w:rFonts w:ascii="Times New Roman" w:hAnsi="Times New Roman" w:eastAsia="方正黑体_GBK"/>
          <w:bCs/>
          <w:color w:val="auto"/>
          <w:kern w:val="0"/>
          <w:sz w:val="32"/>
          <w:szCs w:val="32"/>
          <w:highlight w:val="none"/>
        </w:rPr>
      </w:pPr>
      <w:r>
        <w:rPr>
          <w:rFonts w:ascii="Times New Roman" w:hAnsi="Times New Roman" w:eastAsia="方正黑体_GBK"/>
          <w:bCs/>
          <w:color w:val="auto"/>
          <w:kern w:val="0"/>
          <w:sz w:val="32"/>
          <w:szCs w:val="32"/>
          <w:highlight w:val="none"/>
        </w:rPr>
        <w:t>六、其他需要报告的事项</w:t>
      </w:r>
    </w:p>
    <w:p>
      <w:pPr>
        <w:pStyle w:val="6"/>
        <w:widowControl/>
        <w:spacing w:before="0" w:beforeAutospacing="0" w:after="0" w:afterAutospacing="0"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本报告按照《中华人民共和国政府信息公开条例》等文件要求，结合</w:t>
      </w:r>
      <w:r>
        <w:rPr>
          <w:rFonts w:hint="eastAsia" w:ascii="Times New Roman" w:hAnsi="Times New Roman" w:eastAsia="方正仿宋_GBK"/>
          <w:color w:val="auto"/>
          <w:sz w:val="32"/>
          <w:szCs w:val="32"/>
          <w:highlight w:val="none"/>
        </w:rPr>
        <w:t>2022</w:t>
      </w:r>
      <w:r>
        <w:rPr>
          <w:rFonts w:ascii="Times New Roman" w:hAnsi="Times New Roman" w:eastAsia="方正仿宋_GBK"/>
          <w:color w:val="auto"/>
          <w:sz w:val="32"/>
          <w:szCs w:val="32"/>
          <w:highlight w:val="none"/>
        </w:rPr>
        <w:t>年重庆市沙坪坝区农业农村委员会政府信息公开工作的实际情况编制。全文包括总体情况、主动公开政府信息情况、收到和处理政府信息公开申请情况、政府信息公开行政复议和行政诉讼情况、政府信息公开工作存在的主要问题及改进情况、其他需要报告的事项六部分。本报告中所列数据为累计统计，统计期为</w:t>
      </w:r>
      <w:r>
        <w:rPr>
          <w:rFonts w:hint="eastAsia" w:ascii="Times New Roman" w:hAnsi="Times New Roman" w:eastAsia="方正仿宋_GBK"/>
          <w:color w:val="auto"/>
          <w:sz w:val="32"/>
          <w:szCs w:val="32"/>
          <w:highlight w:val="none"/>
        </w:rPr>
        <w:t>2022</w:t>
      </w:r>
      <w:r>
        <w:rPr>
          <w:rFonts w:ascii="Times New Roman" w:hAnsi="Times New Roman" w:eastAsia="方正仿宋_GBK"/>
          <w:color w:val="auto"/>
          <w:sz w:val="32"/>
          <w:szCs w:val="32"/>
          <w:highlight w:val="none"/>
        </w:rPr>
        <w:t>年1月1日起至</w:t>
      </w:r>
      <w:r>
        <w:rPr>
          <w:rFonts w:hint="eastAsia" w:ascii="Times New Roman" w:hAnsi="Times New Roman" w:eastAsia="方正仿宋_GBK"/>
          <w:color w:val="auto"/>
          <w:sz w:val="32"/>
          <w:szCs w:val="32"/>
          <w:highlight w:val="none"/>
        </w:rPr>
        <w:t>2022</w:t>
      </w:r>
      <w:r>
        <w:rPr>
          <w:rFonts w:ascii="Times New Roman" w:hAnsi="Times New Roman" w:eastAsia="方正仿宋_GBK"/>
          <w:color w:val="auto"/>
          <w:sz w:val="32"/>
          <w:szCs w:val="32"/>
          <w:highlight w:val="none"/>
        </w:rPr>
        <w:t>年12月31日止。如对本报告有任何疑问，请与重庆市沙坪坝区农业农村委员会办公室联系（地址：重庆市沙坪坝区杨梨路57号，邮编：400030，联系电话：023-89857306；023-89857307）。本报告的电子版可在重庆市沙坪坝区人民政府门户网站（网址：http://www.cqspb.gov.cn/）查阅和下载。</w:t>
      </w:r>
    </w:p>
    <w:p>
      <w:pPr>
        <w:widowControl/>
        <w:adjustRightInd w:val="0"/>
        <w:snapToGrid w:val="0"/>
        <w:spacing w:line="594" w:lineRule="exact"/>
        <w:ind w:firstLine="640" w:firstLineChars="200"/>
        <w:jc w:val="left"/>
        <w:rPr>
          <w:rFonts w:ascii="Times New Roman" w:hAnsi="Times New Roman" w:eastAsia="方正仿宋_GBK"/>
          <w:color w:val="auto"/>
          <w:sz w:val="32"/>
          <w:szCs w:val="32"/>
          <w:highlight w:val="none"/>
        </w:rPr>
      </w:pP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7D06A"/>
    <w:multiLevelType w:val="singleLevel"/>
    <w:tmpl w:val="8C07D06A"/>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ZWFhMzE5NGVhZDRiOTU3ODdkZjAyNjFiMThjMzgifQ=="/>
  </w:docVars>
  <w:rsids>
    <w:rsidRoot w:val="006825F0"/>
    <w:rsid w:val="00025DC8"/>
    <w:rsid w:val="00033F89"/>
    <w:rsid w:val="00045597"/>
    <w:rsid w:val="00071282"/>
    <w:rsid w:val="0008238C"/>
    <w:rsid w:val="00164435"/>
    <w:rsid w:val="001678C8"/>
    <w:rsid w:val="00174C8E"/>
    <w:rsid w:val="00182C8E"/>
    <w:rsid w:val="001C3995"/>
    <w:rsid w:val="001E1CF7"/>
    <w:rsid w:val="00216070"/>
    <w:rsid w:val="002244F1"/>
    <w:rsid w:val="00226F3B"/>
    <w:rsid w:val="002A2113"/>
    <w:rsid w:val="002A2C70"/>
    <w:rsid w:val="00397884"/>
    <w:rsid w:val="003C7AA0"/>
    <w:rsid w:val="003D7821"/>
    <w:rsid w:val="004D704B"/>
    <w:rsid w:val="004D7B2A"/>
    <w:rsid w:val="004F55EC"/>
    <w:rsid w:val="005216AE"/>
    <w:rsid w:val="00536C7A"/>
    <w:rsid w:val="005447EB"/>
    <w:rsid w:val="00551421"/>
    <w:rsid w:val="005620DF"/>
    <w:rsid w:val="005655F2"/>
    <w:rsid w:val="00617DCB"/>
    <w:rsid w:val="006462BC"/>
    <w:rsid w:val="00652C3E"/>
    <w:rsid w:val="006602FC"/>
    <w:rsid w:val="0066754E"/>
    <w:rsid w:val="0067646A"/>
    <w:rsid w:val="006825F0"/>
    <w:rsid w:val="006C081D"/>
    <w:rsid w:val="0074397D"/>
    <w:rsid w:val="00744C67"/>
    <w:rsid w:val="007721CD"/>
    <w:rsid w:val="007B3A90"/>
    <w:rsid w:val="007F6DC6"/>
    <w:rsid w:val="00886BAB"/>
    <w:rsid w:val="008E2318"/>
    <w:rsid w:val="008F32DF"/>
    <w:rsid w:val="00954759"/>
    <w:rsid w:val="00A3701B"/>
    <w:rsid w:val="00A45032"/>
    <w:rsid w:val="00A52533"/>
    <w:rsid w:val="00A66278"/>
    <w:rsid w:val="00AB242E"/>
    <w:rsid w:val="00AD4E64"/>
    <w:rsid w:val="00B27802"/>
    <w:rsid w:val="00BD48F2"/>
    <w:rsid w:val="00BE2F7B"/>
    <w:rsid w:val="00C15354"/>
    <w:rsid w:val="00C154CD"/>
    <w:rsid w:val="00C864FF"/>
    <w:rsid w:val="00CD0A65"/>
    <w:rsid w:val="00D01278"/>
    <w:rsid w:val="00D54745"/>
    <w:rsid w:val="00DA20C3"/>
    <w:rsid w:val="00DB3E35"/>
    <w:rsid w:val="00DF63B1"/>
    <w:rsid w:val="00E33D9E"/>
    <w:rsid w:val="00E85D03"/>
    <w:rsid w:val="00EE088D"/>
    <w:rsid w:val="00EE2CD1"/>
    <w:rsid w:val="00EF3B55"/>
    <w:rsid w:val="00F51A70"/>
    <w:rsid w:val="00F6061F"/>
    <w:rsid w:val="00FB1871"/>
    <w:rsid w:val="00FE5D6E"/>
    <w:rsid w:val="00FE7BD8"/>
    <w:rsid w:val="00FF6982"/>
    <w:rsid w:val="01207B0A"/>
    <w:rsid w:val="013435B5"/>
    <w:rsid w:val="019978BC"/>
    <w:rsid w:val="01AC5842"/>
    <w:rsid w:val="01AE15BA"/>
    <w:rsid w:val="01B6221C"/>
    <w:rsid w:val="01B85F94"/>
    <w:rsid w:val="01FF1E15"/>
    <w:rsid w:val="022A5589"/>
    <w:rsid w:val="02313F99"/>
    <w:rsid w:val="02355837"/>
    <w:rsid w:val="028024DC"/>
    <w:rsid w:val="02C11A9B"/>
    <w:rsid w:val="02C40969"/>
    <w:rsid w:val="03173C5A"/>
    <w:rsid w:val="03305FFE"/>
    <w:rsid w:val="03887BE8"/>
    <w:rsid w:val="03E92685"/>
    <w:rsid w:val="03FA360A"/>
    <w:rsid w:val="040D11BD"/>
    <w:rsid w:val="041C393F"/>
    <w:rsid w:val="042C2C6A"/>
    <w:rsid w:val="04367644"/>
    <w:rsid w:val="043833BC"/>
    <w:rsid w:val="045D1075"/>
    <w:rsid w:val="04706FFA"/>
    <w:rsid w:val="04740C93"/>
    <w:rsid w:val="04893C18"/>
    <w:rsid w:val="04C74740"/>
    <w:rsid w:val="04D035F5"/>
    <w:rsid w:val="052A53FB"/>
    <w:rsid w:val="05432019"/>
    <w:rsid w:val="05551D4C"/>
    <w:rsid w:val="0555290A"/>
    <w:rsid w:val="05597A8E"/>
    <w:rsid w:val="056401E1"/>
    <w:rsid w:val="05726DA2"/>
    <w:rsid w:val="05776166"/>
    <w:rsid w:val="05790131"/>
    <w:rsid w:val="05951A18"/>
    <w:rsid w:val="05C50C80"/>
    <w:rsid w:val="05C94D98"/>
    <w:rsid w:val="06345E06"/>
    <w:rsid w:val="067A4160"/>
    <w:rsid w:val="068922C3"/>
    <w:rsid w:val="06BC6527"/>
    <w:rsid w:val="06BD16C1"/>
    <w:rsid w:val="06F21F49"/>
    <w:rsid w:val="07225064"/>
    <w:rsid w:val="07236BE1"/>
    <w:rsid w:val="074B3407"/>
    <w:rsid w:val="07707311"/>
    <w:rsid w:val="082500FC"/>
    <w:rsid w:val="082D6FB0"/>
    <w:rsid w:val="083D5445"/>
    <w:rsid w:val="08572E05"/>
    <w:rsid w:val="08601134"/>
    <w:rsid w:val="086F1377"/>
    <w:rsid w:val="087B7D1C"/>
    <w:rsid w:val="088E7A4F"/>
    <w:rsid w:val="09067F2D"/>
    <w:rsid w:val="09371E95"/>
    <w:rsid w:val="09440A55"/>
    <w:rsid w:val="097D1872"/>
    <w:rsid w:val="09B47989"/>
    <w:rsid w:val="09E0252C"/>
    <w:rsid w:val="0A2763AD"/>
    <w:rsid w:val="0A415923"/>
    <w:rsid w:val="0A760406"/>
    <w:rsid w:val="0A782765"/>
    <w:rsid w:val="0A9F23E7"/>
    <w:rsid w:val="0AAF1EFF"/>
    <w:rsid w:val="0AB319EF"/>
    <w:rsid w:val="0AC72CD7"/>
    <w:rsid w:val="0AFA761E"/>
    <w:rsid w:val="0B187AA4"/>
    <w:rsid w:val="0B1D330C"/>
    <w:rsid w:val="0B316DB7"/>
    <w:rsid w:val="0B41349E"/>
    <w:rsid w:val="0B5E78C8"/>
    <w:rsid w:val="0B670BE4"/>
    <w:rsid w:val="0B7373D0"/>
    <w:rsid w:val="0B81389B"/>
    <w:rsid w:val="0B8B64C8"/>
    <w:rsid w:val="0BB2614A"/>
    <w:rsid w:val="0BFA53FB"/>
    <w:rsid w:val="0C324B95"/>
    <w:rsid w:val="0C7156BE"/>
    <w:rsid w:val="0C7451AE"/>
    <w:rsid w:val="0D1B33F1"/>
    <w:rsid w:val="0D5A0848"/>
    <w:rsid w:val="0D605732"/>
    <w:rsid w:val="0D6C3835"/>
    <w:rsid w:val="0D9928E0"/>
    <w:rsid w:val="0D9F44AC"/>
    <w:rsid w:val="0DE93979"/>
    <w:rsid w:val="0DF76096"/>
    <w:rsid w:val="0DFE7425"/>
    <w:rsid w:val="0E0F1632"/>
    <w:rsid w:val="0E2055ED"/>
    <w:rsid w:val="0E325320"/>
    <w:rsid w:val="0E4C110F"/>
    <w:rsid w:val="0E6B438E"/>
    <w:rsid w:val="0EB8358B"/>
    <w:rsid w:val="0EE26D46"/>
    <w:rsid w:val="0EED4495"/>
    <w:rsid w:val="0F205179"/>
    <w:rsid w:val="0F8C0A60"/>
    <w:rsid w:val="0F977B31"/>
    <w:rsid w:val="0FC4644C"/>
    <w:rsid w:val="10060813"/>
    <w:rsid w:val="104738BC"/>
    <w:rsid w:val="107A6B0B"/>
    <w:rsid w:val="10E8616A"/>
    <w:rsid w:val="112A0531"/>
    <w:rsid w:val="11382C4E"/>
    <w:rsid w:val="114F61E9"/>
    <w:rsid w:val="11963E18"/>
    <w:rsid w:val="11964CC3"/>
    <w:rsid w:val="11D24E50"/>
    <w:rsid w:val="11F0177A"/>
    <w:rsid w:val="120D7D47"/>
    <w:rsid w:val="12503FC7"/>
    <w:rsid w:val="131330B4"/>
    <w:rsid w:val="131D659F"/>
    <w:rsid w:val="131E7C21"/>
    <w:rsid w:val="13202286"/>
    <w:rsid w:val="13596EAB"/>
    <w:rsid w:val="137A57A0"/>
    <w:rsid w:val="138F0B1F"/>
    <w:rsid w:val="13A46379"/>
    <w:rsid w:val="13BB7B66"/>
    <w:rsid w:val="13C0517C"/>
    <w:rsid w:val="13C407C9"/>
    <w:rsid w:val="13C46A1B"/>
    <w:rsid w:val="13F84916"/>
    <w:rsid w:val="14092680"/>
    <w:rsid w:val="14467430"/>
    <w:rsid w:val="145E6E6F"/>
    <w:rsid w:val="148E0DD7"/>
    <w:rsid w:val="14CB3DD9"/>
    <w:rsid w:val="14D25167"/>
    <w:rsid w:val="14D62EA9"/>
    <w:rsid w:val="153449D3"/>
    <w:rsid w:val="15597637"/>
    <w:rsid w:val="15794927"/>
    <w:rsid w:val="159B19FD"/>
    <w:rsid w:val="15EF58A5"/>
    <w:rsid w:val="165A5414"/>
    <w:rsid w:val="165F0C7D"/>
    <w:rsid w:val="1679023A"/>
    <w:rsid w:val="169E17A5"/>
    <w:rsid w:val="16AE5760"/>
    <w:rsid w:val="16C44F84"/>
    <w:rsid w:val="170F26A3"/>
    <w:rsid w:val="172872C1"/>
    <w:rsid w:val="176C3651"/>
    <w:rsid w:val="178E7A6B"/>
    <w:rsid w:val="17BE7C25"/>
    <w:rsid w:val="17DE3E23"/>
    <w:rsid w:val="17F17FFA"/>
    <w:rsid w:val="17F92A0B"/>
    <w:rsid w:val="183028D1"/>
    <w:rsid w:val="193E101D"/>
    <w:rsid w:val="194B373A"/>
    <w:rsid w:val="198D3D53"/>
    <w:rsid w:val="19D45B8B"/>
    <w:rsid w:val="19F93196"/>
    <w:rsid w:val="1A2975D8"/>
    <w:rsid w:val="1A9058A9"/>
    <w:rsid w:val="1AA90718"/>
    <w:rsid w:val="1AAC1FB7"/>
    <w:rsid w:val="1AAC5768"/>
    <w:rsid w:val="1AC63078"/>
    <w:rsid w:val="1AF26175"/>
    <w:rsid w:val="1AFF658A"/>
    <w:rsid w:val="1B0D514B"/>
    <w:rsid w:val="1B3A3A66"/>
    <w:rsid w:val="1B4548E5"/>
    <w:rsid w:val="1B4E306E"/>
    <w:rsid w:val="1B707488"/>
    <w:rsid w:val="1BD61AE6"/>
    <w:rsid w:val="1BE85270"/>
    <w:rsid w:val="1BED0AD9"/>
    <w:rsid w:val="1C2E35CB"/>
    <w:rsid w:val="1C3E30E2"/>
    <w:rsid w:val="1C60574F"/>
    <w:rsid w:val="1C827473"/>
    <w:rsid w:val="1CB33AD0"/>
    <w:rsid w:val="1CC17F9B"/>
    <w:rsid w:val="1D0B56BA"/>
    <w:rsid w:val="1D303373"/>
    <w:rsid w:val="1D4645CB"/>
    <w:rsid w:val="1D526E45"/>
    <w:rsid w:val="1D792624"/>
    <w:rsid w:val="1DF24184"/>
    <w:rsid w:val="1DF4614E"/>
    <w:rsid w:val="1E7352C5"/>
    <w:rsid w:val="1E7A2AF8"/>
    <w:rsid w:val="1EB31B66"/>
    <w:rsid w:val="1EF02DBA"/>
    <w:rsid w:val="1EF26B32"/>
    <w:rsid w:val="1F1F369F"/>
    <w:rsid w:val="1F2C36C6"/>
    <w:rsid w:val="1F4E7AE0"/>
    <w:rsid w:val="1F9B1A75"/>
    <w:rsid w:val="1F9C6A9E"/>
    <w:rsid w:val="1FBE07C2"/>
    <w:rsid w:val="20250841"/>
    <w:rsid w:val="20407429"/>
    <w:rsid w:val="20482782"/>
    <w:rsid w:val="206A26F8"/>
    <w:rsid w:val="206C2914"/>
    <w:rsid w:val="206F7D0E"/>
    <w:rsid w:val="20795725"/>
    <w:rsid w:val="20D67D8D"/>
    <w:rsid w:val="214F23A0"/>
    <w:rsid w:val="216C3787"/>
    <w:rsid w:val="21C1459A"/>
    <w:rsid w:val="21DF0EC4"/>
    <w:rsid w:val="21F91F85"/>
    <w:rsid w:val="21FB3F4F"/>
    <w:rsid w:val="22032E04"/>
    <w:rsid w:val="221943D6"/>
    <w:rsid w:val="222F3BF9"/>
    <w:rsid w:val="224F6049"/>
    <w:rsid w:val="22576CAC"/>
    <w:rsid w:val="22617B2B"/>
    <w:rsid w:val="226A2E83"/>
    <w:rsid w:val="22765384"/>
    <w:rsid w:val="22CC3892"/>
    <w:rsid w:val="22F8048F"/>
    <w:rsid w:val="23256DAA"/>
    <w:rsid w:val="23360FB7"/>
    <w:rsid w:val="23533917"/>
    <w:rsid w:val="235651B5"/>
    <w:rsid w:val="23616034"/>
    <w:rsid w:val="238C6E29"/>
    <w:rsid w:val="23C16AD3"/>
    <w:rsid w:val="241035B6"/>
    <w:rsid w:val="24107A5A"/>
    <w:rsid w:val="242E5645"/>
    <w:rsid w:val="245060A9"/>
    <w:rsid w:val="249E6E14"/>
    <w:rsid w:val="24BD5534"/>
    <w:rsid w:val="24C70119"/>
    <w:rsid w:val="25754688"/>
    <w:rsid w:val="25761B3F"/>
    <w:rsid w:val="25897AC4"/>
    <w:rsid w:val="25B85CB3"/>
    <w:rsid w:val="25D9578E"/>
    <w:rsid w:val="25ED7F02"/>
    <w:rsid w:val="25FE400E"/>
    <w:rsid w:val="2608041E"/>
    <w:rsid w:val="262D48F3"/>
    <w:rsid w:val="26301CEE"/>
    <w:rsid w:val="2670658E"/>
    <w:rsid w:val="26BB5A5B"/>
    <w:rsid w:val="26C03072"/>
    <w:rsid w:val="26CF59AB"/>
    <w:rsid w:val="26E8081A"/>
    <w:rsid w:val="26F86CAF"/>
    <w:rsid w:val="270218DC"/>
    <w:rsid w:val="27133AE9"/>
    <w:rsid w:val="27402404"/>
    <w:rsid w:val="27433CA3"/>
    <w:rsid w:val="274A3283"/>
    <w:rsid w:val="276500BD"/>
    <w:rsid w:val="277976C4"/>
    <w:rsid w:val="277F117F"/>
    <w:rsid w:val="27840543"/>
    <w:rsid w:val="27B43FC6"/>
    <w:rsid w:val="27CB6172"/>
    <w:rsid w:val="27E45486"/>
    <w:rsid w:val="27EB411E"/>
    <w:rsid w:val="281F201A"/>
    <w:rsid w:val="286454FC"/>
    <w:rsid w:val="28793E20"/>
    <w:rsid w:val="287E31E4"/>
    <w:rsid w:val="290F02E0"/>
    <w:rsid w:val="291B58C9"/>
    <w:rsid w:val="295D729E"/>
    <w:rsid w:val="2987256D"/>
    <w:rsid w:val="2A895E70"/>
    <w:rsid w:val="2AA04F16"/>
    <w:rsid w:val="2AC82E3D"/>
    <w:rsid w:val="2AD76BDC"/>
    <w:rsid w:val="2AF21C68"/>
    <w:rsid w:val="2AFB6D6E"/>
    <w:rsid w:val="2BFA7026"/>
    <w:rsid w:val="2BFE692D"/>
    <w:rsid w:val="2C063C1D"/>
    <w:rsid w:val="2C183950"/>
    <w:rsid w:val="2C1B6F9C"/>
    <w:rsid w:val="2C363DD6"/>
    <w:rsid w:val="2C73502A"/>
    <w:rsid w:val="2CC3566A"/>
    <w:rsid w:val="2CDE6947"/>
    <w:rsid w:val="2CDF621C"/>
    <w:rsid w:val="2CF717B7"/>
    <w:rsid w:val="2D2E420C"/>
    <w:rsid w:val="2D3447B9"/>
    <w:rsid w:val="2D4C1B03"/>
    <w:rsid w:val="2D4D587B"/>
    <w:rsid w:val="2D4F15F3"/>
    <w:rsid w:val="2DC31699"/>
    <w:rsid w:val="2DD35D80"/>
    <w:rsid w:val="2DD37B2E"/>
    <w:rsid w:val="2DE0224B"/>
    <w:rsid w:val="2E0A551A"/>
    <w:rsid w:val="2E1343CF"/>
    <w:rsid w:val="2E293BF2"/>
    <w:rsid w:val="2E3B56D4"/>
    <w:rsid w:val="2E951288"/>
    <w:rsid w:val="2EAB2859"/>
    <w:rsid w:val="2EF51D26"/>
    <w:rsid w:val="2F1A178D"/>
    <w:rsid w:val="2F807842"/>
    <w:rsid w:val="2F994DA8"/>
    <w:rsid w:val="2FBD0A96"/>
    <w:rsid w:val="30147100"/>
    <w:rsid w:val="301E705B"/>
    <w:rsid w:val="303F76FD"/>
    <w:rsid w:val="3062163D"/>
    <w:rsid w:val="30801AC4"/>
    <w:rsid w:val="30B17ECF"/>
    <w:rsid w:val="30E3277E"/>
    <w:rsid w:val="30F15D11"/>
    <w:rsid w:val="311346E6"/>
    <w:rsid w:val="315947EF"/>
    <w:rsid w:val="319E1B76"/>
    <w:rsid w:val="31A424CF"/>
    <w:rsid w:val="31AD4B3A"/>
    <w:rsid w:val="31B41A25"/>
    <w:rsid w:val="31BE28A4"/>
    <w:rsid w:val="31FB58A6"/>
    <w:rsid w:val="325F4087"/>
    <w:rsid w:val="32A63A63"/>
    <w:rsid w:val="32BB5035"/>
    <w:rsid w:val="32FD11AA"/>
    <w:rsid w:val="33240E2C"/>
    <w:rsid w:val="335C4122"/>
    <w:rsid w:val="33BF2DC3"/>
    <w:rsid w:val="34545741"/>
    <w:rsid w:val="345614B9"/>
    <w:rsid w:val="34563267"/>
    <w:rsid w:val="345E211C"/>
    <w:rsid w:val="346C65E7"/>
    <w:rsid w:val="348558FB"/>
    <w:rsid w:val="34C401D1"/>
    <w:rsid w:val="34CE2DFE"/>
    <w:rsid w:val="34CF3709"/>
    <w:rsid w:val="34D16D92"/>
    <w:rsid w:val="34D67F04"/>
    <w:rsid w:val="34F07218"/>
    <w:rsid w:val="34F52A80"/>
    <w:rsid w:val="34FC3E0F"/>
    <w:rsid w:val="354237EC"/>
    <w:rsid w:val="35BC359E"/>
    <w:rsid w:val="35BD7B8A"/>
    <w:rsid w:val="35D119BA"/>
    <w:rsid w:val="35EB5C31"/>
    <w:rsid w:val="35F920FC"/>
    <w:rsid w:val="35FB40C6"/>
    <w:rsid w:val="36162CAE"/>
    <w:rsid w:val="36427103"/>
    <w:rsid w:val="364C2B74"/>
    <w:rsid w:val="36525CB0"/>
    <w:rsid w:val="36C30B3F"/>
    <w:rsid w:val="36CA5847"/>
    <w:rsid w:val="36FC0577"/>
    <w:rsid w:val="371511B8"/>
    <w:rsid w:val="373A0C1E"/>
    <w:rsid w:val="3756532C"/>
    <w:rsid w:val="375F134B"/>
    <w:rsid w:val="379F4F25"/>
    <w:rsid w:val="37D90437"/>
    <w:rsid w:val="37DD15AA"/>
    <w:rsid w:val="37F04473"/>
    <w:rsid w:val="38740160"/>
    <w:rsid w:val="38C474F4"/>
    <w:rsid w:val="38CB0C09"/>
    <w:rsid w:val="38D8249D"/>
    <w:rsid w:val="39074B30"/>
    <w:rsid w:val="39276F80"/>
    <w:rsid w:val="39625348"/>
    <w:rsid w:val="398B750F"/>
    <w:rsid w:val="39902D77"/>
    <w:rsid w:val="39BD78E5"/>
    <w:rsid w:val="39E135D3"/>
    <w:rsid w:val="39FC040D"/>
    <w:rsid w:val="3A086DB2"/>
    <w:rsid w:val="3A2B0CF2"/>
    <w:rsid w:val="3A314344"/>
    <w:rsid w:val="3A377697"/>
    <w:rsid w:val="3A566593"/>
    <w:rsid w:val="3A7601BF"/>
    <w:rsid w:val="3A766411"/>
    <w:rsid w:val="3AB605BC"/>
    <w:rsid w:val="3AE113B1"/>
    <w:rsid w:val="3B3911ED"/>
    <w:rsid w:val="3B4C2CCE"/>
    <w:rsid w:val="3B660234"/>
    <w:rsid w:val="3B675D5A"/>
    <w:rsid w:val="3BE92C13"/>
    <w:rsid w:val="3C161DCE"/>
    <w:rsid w:val="3C4B11D8"/>
    <w:rsid w:val="3C5856E7"/>
    <w:rsid w:val="3CAF79B9"/>
    <w:rsid w:val="3CBE19AA"/>
    <w:rsid w:val="3CBE5E4E"/>
    <w:rsid w:val="3CC316B6"/>
    <w:rsid w:val="3CCD42E3"/>
    <w:rsid w:val="3CDE3DFA"/>
    <w:rsid w:val="3CFD6976"/>
    <w:rsid w:val="3D3B749E"/>
    <w:rsid w:val="3D57125C"/>
    <w:rsid w:val="3D791D75"/>
    <w:rsid w:val="3DBD7EB3"/>
    <w:rsid w:val="3DDF607B"/>
    <w:rsid w:val="3DF53AF1"/>
    <w:rsid w:val="3DFE0BF8"/>
    <w:rsid w:val="3E375EB7"/>
    <w:rsid w:val="3E4E5063"/>
    <w:rsid w:val="3E500D27"/>
    <w:rsid w:val="3E5755E5"/>
    <w:rsid w:val="3E6B62C8"/>
    <w:rsid w:val="3E8B7FB1"/>
    <w:rsid w:val="3E9A6446"/>
    <w:rsid w:val="3EA6303D"/>
    <w:rsid w:val="3EB76FF8"/>
    <w:rsid w:val="3EF618CF"/>
    <w:rsid w:val="3F1049E5"/>
    <w:rsid w:val="3F43263A"/>
    <w:rsid w:val="3F67457A"/>
    <w:rsid w:val="3F676329"/>
    <w:rsid w:val="3FAF1A7E"/>
    <w:rsid w:val="3FB13A48"/>
    <w:rsid w:val="3FF51B86"/>
    <w:rsid w:val="4010076E"/>
    <w:rsid w:val="402B1169"/>
    <w:rsid w:val="40427815"/>
    <w:rsid w:val="40D43E92"/>
    <w:rsid w:val="40F24318"/>
    <w:rsid w:val="41076015"/>
    <w:rsid w:val="41A2189A"/>
    <w:rsid w:val="41A43864"/>
    <w:rsid w:val="41CA0DF1"/>
    <w:rsid w:val="41D57EC1"/>
    <w:rsid w:val="41DA7BF8"/>
    <w:rsid w:val="41F30347"/>
    <w:rsid w:val="4251506E"/>
    <w:rsid w:val="42562684"/>
    <w:rsid w:val="43302ED5"/>
    <w:rsid w:val="436F1C50"/>
    <w:rsid w:val="43C27FD1"/>
    <w:rsid w:val="43D83C99"/>
    <w:rsid w:val="43FA00AE"/>
    <w:rsid w:val="441B5933"/>
    <w:rsid w:val="44356D15"/>
    <w:rsid w:val="44654E01"/>
    <w:rsid w:val="44823C05"/>
    <w:rsid w:val="44941FAF"/>
    <w:rsid w:val="4496320C"/>
    <w:rsid w:val="449D459A"/>
    <w:rsid w:val="44AC2A30"/>
    <w:rsid w:val="44BA339E"/>
    <w:rsid w:val="44C350BE"/>
    <w:rsid w:val="453E18DA"/>
    <w:rsid w:val="45442390"/>
    <w:rsid w:val="45790B64"/>
    <w:rsid w:val="45EA380F"/>
    <w:rsid w:val="45EC3A2B"/>
    <w:rsid w:val="45F621B4"/>
    <w:rsid w:val="46144D30"/>
    <w:rsid w:val="461B1C1B"/>
    <w:rsid w:val="461C73BA"/>
    <w:rsid w:val="463351B6"/>
    <w:rsid w:val="463B406B"/>
    <w:rsid w:val="46A63BDA"/>
    <w:rsid w:val="47086643"/>
    <w:rsid w:val="471072A6"/>
    <w:rsid w:val="47332F94"/>
    <w:rsid w:val="47694C08"/>
    <w:rsid w:val="47855EE6"/>
    <w:rsid w:val="480978E1"/>
    <w:rsid w:val="48343468"/>
    <w:rsid w:val="48580F04"/>
    <w:rsid w:val="48786D30"/>
    <w:rsid w:val="48BF71D5"/>
    <w:rsid w:val="48E56510"/>
    <w:rsid w:val="4901159C"/>
    <w:rsid w:val="492B14A4"/>
    <w:rsid w:val="497B1489"/>
    <w:rsid w:val="499E328F"/>
    <w:rsid w:val="49BF4FB3"/>
    <w:rsid w:val="49D23708"/>
    <w:rsid w:val="49DF11B1"/>
    <w:rsid w:val="49E8396F"/>
    <w:rsid w:val="4A1470AD"/>
    <w:rsid w:val="4A82670C"/>
    <w:rsid w:val="4A873D23"/>
    <w:rsid w:val="4A8E3303"/>
    <w:rsid w:val="4AB265DE"/>
    <w:rsid w:val="4ABA40F8"/>
    <w:rsid w:val="4AFD3FE5"/>
    <w:rsid w:val="4B441C14"/>
    <w:rsid w:val="4B756271"/>
    <w:rsid w:val="4B904E59"/>
    <w:rsid w:val="4B9761E7"/>
    <w:rsid w:val="4BB268AB"/>
    <w:rsid w:val="4BCF5981"/>
    <w:rsid w:val="4BD20C6C"/>
    <w:rsid w:val="4C1710D6"/>
    <w:rsid w:val="4C3B28A4"/>
    <w:rsid w:val="4C793B3F"/>
    <w:rsid w:val="4C8147A2"/>
    <w:rsid w:val="4CAE1A3B"/>
    <w:rsid w:val="4CB93F3C"/>
    <w:rsid w:val="4CD40D75"/>
    <w:rsid w:val="4D897DB2"/>
    <w:rsid w:val="4D9C1893"/>
    <w:rsid w:val="4E546612"/>
    <w:rsid w:val="4E5B79A0"/>
    <w:rsid w:val="4E676345"/>
    <w:rsid w:val="4EC03674"/>
    <w:rsid w:val="4EF31987"/>
    <w:rsid w:val="4EFC5A58"/>
    <w:rsid w:val="4F2204BE"/>
    <w:rsid w:val="4F5F1B0A"/>
    <w:rsid w:val="4F691C49"/>
    <w:rsid w:val="4F764366"/>
    <w:rsid w:val="4F9273F2"/>
    <w:rsid w:val="4FA17635"/>
    <w:rsid w:val="4FE15C83"/>
    <w:rsid w:val="4FE3722E"/>
    <w:rsid w:val="4FF04118"/>
    <w:rsid w:val="500D4CCA"/>
    <w:rsid w:val="507E1724"/>
    <w:rsid w:val="50AD025B"/>
    <w:rsid w:val="50B138A7"/>
    <w:rsid w:val="50BC3FFA"/>
    <w:rsid w:val="50ED0658"/>
    <w:rsid w:val="50EF2F86"/>
    <w:rsid w:val="51204589"/>
    <w:rsid w:val="51597A9B"/>
    <w:rsid w:val="51644DBE"/>
    <w:rsid w:val="51646B6C"/>
    <w:rsid w:val="51752B27"/>
    <w:rsid w:val="51856AE2"/>
    <w:rsid w:val="518E1E3B"/>
    <w:rsid w:val="51A90A23"/>
    <w:rsid w:val="51B55619"/>
    <w:rsid w:val="51D07D5D"/>
    <w:rsid w:val="52C13B4A"/>
    <w:rsid w:val="53004672"/>
    <w:rsid w:val="531B14AC"/>
    <w:rsid w:val="532E7431"/>
    <w:rsid w:val="538C5F06"/>
    <w:rsid w:val="53BE0335"/>
    <w:rsid w:val="53D8739D"/>
    <w:rsid w:val="53FF0DCE"/>
    <w:rsid w:val="541C1980"/>
    <w:rsid w:val="545033D7"/>
    <w:rsid w:val="546B0211"/>
    <w:rsid w:val="547E6196"/>
    <w:rsid w:val="548117E3"/>
    <w:rsid w:val="54A93133"/>
    <w:rsid w:val="54B07A5E"/>
    <w:rsid w:val="54E029AD"/>
    <w:rsid w:val="551D59AF"/>
    <w:rsid w:val="55410F72"/>
    <w:rsid w:val="556F3D31"/>
    <w:rsid w:val="55807CEC"/>
    <w:rsid w:val="55BD4A9D"/>
    <w:rsid w:val="55C951EF"/>
    <w:rsid w:val="55DB51A3"/>
    <w:rsid w:val="56020701"/>
    <w:rsid w:val="56086042"/>
    <w:rsid w:val="56131CF1"/>
    <w:rsid w:val="56462CE4"/>
    <w:rsid w:val="565151E5"/>
    <w:rsid w:val="565A053D"/>
    <w:rsid w:val="56955A19"/>
    <w:rsid w:val="571C3A45"/>
    <w:rsid w:val="572C012C"/>
    <w:rsid w:val="572F6EAA"/>
    <w:rsid w:val="57887E28"/>
    <w:rsid w:val="57BE68AA"/>
    <w:rsid w:val="57C12897"/>
    <w:rsid w:val="57CD4D3F"/>
    <w:rsid w:val="57CE6621"/>
    <w:rsid w:val="57F14178"/>
    <w:rsid w:val="584E5E80"/>
    <w:rsid w:val="585C60CA"/>
    <w:rsid w:val="586236D9"/>
    <w:rsid w:val="586E207E"/>
    <w:rsid w:val="58873140"/>
    <w:rsid w:val="59225510"/>
    <w:rsid w:val="5943795E"/>
    <w:rsid w:val="594828CF"/>
    <w:rsid w:val="596456FA"/>
    <w:rsid w:val="59A10231"/>
    <w:rsid w:val="59A65848"/>
    <w:rsid w:val="59D6437F"/>
    <w:rsid w:val="59D979CB"/>
    <w:rsid w:val="59E3084A"/>
    <w:rsid w:val="5A81253D"/>
    <w:rsid w:val="5A865DA5"/>
    <w:rsid w:val="5AE96334"/>
    <w:rsid w:val="5B0171D9"/>
    <w:rsid w:val="5B035313"/>
    <w:rsid w:val="5B303F63"/>
    <w:rsid w:val="5B48305A"/>
    <w:rsid w:val="5B491F2D"/>
    <w:rsid w:val="5B6065F6"/>
    <w:rsid w:val="5B6F05E7"/>
    <w:rsid w:val="5B8027F4"/>
    <w:rsid w:val="5B841BB9"/>
    <w:rsid w:val="5BA83AF9"/>
    <w:rsid w:val="5BCA1CC1"/>
    <w:rsid w:val="5BE72873"/>
    <w:rsid w:val="5C3F445D"/>
    <w:rsid w:val="5C4557EC"/>
    <w:rsid w:val="5C6043D4"/>
    <w:rsid w:val="5C61674B"/>
    <w:rsid w:val="5C6C2D78"/>
    <w:rsid w:val="5CE40B61"/>
    <w:rsid w:val="5D6121B1"/>
    <w:rsid w:val="5D777C27"/>
    <w:rsid w:val="5DA909EB"/>
    <w:rsid w:val="5DB01EFE"/>
    <w:rsid w:val="5DB669A1"/>
    <w:rsid w:val="5E0301D2"/>
    <w:rsid w:val="5E0A2849"/>
    <w:rsid w:val="5F1E7561"/>
    <w:rsid w:val="5F3201E3"/>
    <w:rsid w:val="5F677827"/>
    <w:rsid w:val="5F6E5059"/>
    <w:rsid w:val="5F752C58"/>
    <w:rsid w:val="5F7A39FE"/>
    <w:rsid w:val="5FD62369"/>
    <w:rsid w:val="5FDC6467"/>
    <w:rsid w:val="5FEF619A"/>
    <w:rsid w:val="601D1101"/>
    <w:rsid w:val="608A7C71"/>
    <w:rsid w:val="608C39E9"/>
    <w:rsid w:val="609A3376"/>
    <w:rsid w:val="609A4358"/>
    <w:rsid w:val="60A70823"/>
    <w:rsid w:val="60C07B37"/>
    <w:rsid w:val="613D4CE3"/>
    <w:rsid w:val="617701F5"/>
    <w:rsid w:val="617D3332"/>
    <w:rsid w:val="61E763CA"/>
    <w:rsid w:val="624F1B26"/>
    <w:rsid w:val="628506F0"/>
    <w:rsid w:val="62B2525D"/>
    <w:rsid w:val="62C3746A"/>
    <w:rsid w:val="62E55633"/>
    <w:rsid w:val="62FF66F4"/>
    <w:rsid w:val="63027F93"/>
    <w:rsid w:val="630C0E11"/>
    <w:rsid w:val="63497970"/>
    <w:rsid w:val="63E15DFA"/>
    <w:rsid w:val="63E43B3C"/>
    <w:rsid w:val="63EE0517"/>
    <w:rsid w:val="63F26259"/>
    <w:rsid w:val="64281C7B"/>
    <w:rsid w:val="64656A2B"/>
    <w:rsid w:val="648275DD"/>
    <w:rsid w:val="64862172"/>
    <w:rsid w:val="64A07A63"/>
    <w:rsid w:val="64BD0615"/>
    <w:rsid w:val="64BE25DF"/>
    <w:rsid w:val="64E77440"/>
    <w:rsid w:val="64EF5413"/>
    <w:rsid w:val="65046244"/>
    <w:rsid w:val="6511270F"/>
    <w:rsid w:val="651421FF"/>
    <w:rsid w:val="651A5A67"/>
    <w:rsid w:val="656F7435"/>
    <w:rsid w:val="65D26342"/>
    <w:rsid w:val="65D76EFA"/>
    <w:rsid w:val="65E25E59"/>
    <w:rsid w:val="660A5ADC"/>
    <w:rsid w:val="665925BF"/>
    <w:rsid w:val="66756CCD"/>
    <w:rsid w:val="667C62AE"/>
    <w:rsid w:val="667F4F0E"/>
    <w:rsid w:val="66E31E89"/>
    <w:rsid w:val="66F75934"/>
    <w:rsid w:val="670818F0"/>
    <w:rsid w:val="6732696D"/>
    <w:rsid w:val="67406972"/>
    <w:rsid w:val="679030DF"/>
    <w:rsid w:val="679338AF"/>
    <w:rsid w:val="67FD6F7B"/>
    <w:rsid w:val="67FE0A1E"/>
    <w:rsid w:val="6809591F"/>
    <w:rsid w:val="682B3AE8"/>
    <w:rsid w:val="688A2F04"/>
    <w:rsid w:val="689478DF"/>
    <w:rsid w:val="68AA0EB0"/>
    <w:rsid w:val="68B43ADD"/>
    <w:rsid w:val="68D4417F"/>
    <w:rsid w:val="68F0088D"/>
    <w:rsid w:val="69012A9A"/>
    <w:rsid w:val="69036813"/>
    <w:rsid w:val="696C43B8"/>
    <w:rsid w:val="699E02E9"/>
    <w:rsid w:val="69CE0BCF"/>
    <w:rsid w:val="6A026ACA"/>
    <w:rsid w:val="6A503D6D"/>
    <w:rsid w:val="6A5A2FBA"/>
    <w:rsid w:val="6A793230"/>
    <w:rsid w:val="6A796FFA"/>
    <w:rsid w:val="6ACF0C6F"/>
    <w:rsid w:val="6ACF2E50"/>
    <w:rsid w:val="6B1271E1"/>
    <w:rsid w:val="6B39476E"/>
    <w:rsid w:val="6B6F63E1"/>
    <w:rsid w:val="6B96396E"/>
    <w:rsid w:val="6B9A16B0"/>
    <w:rsid w:val="6BFB1A23"/>
    <w:rsid w:val="6C3A079D"/>
    <w:rsid w:val="6C474C68"/>
    <w:rsid w:val="6C7448BB"/>
    <w:rsid w:val="6C832144"/>
    <w:rsid w:val="6D45389E"/>
    <w:rsid w:val="6D6B4986"/>
    <w:rsid w:val="6D7717B3"/>
    <w:rsid w:val="6DBD1686"/>
    <w:rsid w:val="6DC522E8"/>
    <w:rsid w:val="6DDB5FB0"/>
    <w:rsid w:val="6DEC5AC7"/>
    <w:rsid w:val="6E032E11"/>
    <w:rsid w:val="6E13574A"/>
    <w:rsid w:val="6E411B42"/>
    <w:rsid w:val="6E657628"/>
    <w:rsid w:val="6E726963"/>
    <w:rsid w:val="6E881C94"/>
    <w:rsid w:val="6E8F5A38"/>
    <w:rsid w:val="6EA97E5C"/>
    <w:rsid w:val="6ECB7DD2"/>
    <w:rsid w:val="6EF32E85"/>
    <w:rsid w:val="6F1E6154"/>
    <w:rsid w:val="6F3E2352"/>
    <w:rsid w:val="6F411E43"/>
    <w:rsid w:val="6F653D83"/>
    <w:rsid w:val="6F997ED1"/>
    <w:rsid w:val="6FEA4288"/>
    <w:rsid w:val="70384B42"/>
    <w:rsid w:val="70763D6E"/>
    <w:rsid w:val="70E94540"/>
    <w:rsid w:val="70EB650A"/>
    <w:rsid w:val="712E63F7"/>
    <w:rsid w:val="71836742"/>
    <w:rsid w:val="718D75C1"/>
    <w:rsid w:val="71C72AD3"/>
    <w:rsid w:val="72347A3D"/>
    <w:rsid w:val="72395053"/>
    <w:rsid w:val="724063E2"/>
    <w:rsid w:val="725F0F5E"/>
    <w:rsid w:val="72800ED4"/>
    <w:rsid w:val="72A4769A"/>
    <w:rsid w:val="73005B71"/>
    <w:rsid w:val="732E2674"/>
    <w:rsid w:val="737722D7"/>
    <w:rsid w:val="738F5872"/>
    <w:rsid w:val="73A6496A"/>
    <w:rsid w:val="73BB0416"/>
    <w:rsid w:val="73C53042"/>
    <w:rsid w:val="73DC65DE"/>
    <w:rsid w:val="73E84F83"/>
    <w:rsid w:val="74026044"/>
    <w:rsid w:val="74065409"/>
    <w:rsid w:val="743D1D00"/>
    <w:rsid w:val="743F7103"/>
    <w:rsid w:val="74511D18"/>
    <w:rsid w:val="7463285B"/>
    <w:rsid w:val="749869A9"/>
    <w:rsid w:val="749E5641"/>
    <w:rsid w:val="74B15375"/>
    <w:rsid w:val="74C4154C"/>
    <w:rsid w:val="74DA2B1D"/>
    <w:rsid w:val="74E26D37"/>
    <w:rsid w:val="74F040EF"/>
    <w:rsid w:val="74FC6F38"/>
    <w:rsid w:val="75A1188D"/>
    <w:rsid w:val="75B23A9A"/>
    <w:rsid w:val="75D27C98"/>
    <w:rsid w:val="761A774A"/>
    <w:rsid w:val="763B75EC"/>
    <w:rsid w:val="764364A0"/>
    <w:rsid w:val="76524935"/>
    <w:rsid w:val="76593F16"/>
    <w:rsid w:val="765D6201"/>
    <w:rsid w:val="76A03EAE"/>
    <w:rsid w:val="76CA6BC2"/>
    <w:rsid w:val="76EE28B0"/>
    <w:rsid w:val="76EE465E"/>
    <w:rsid w:val="770B3462"/>
    <w:rsid w:val="77147E3D"/>
    <w:rsid w:val="771F2A69"/>
    <w:rsid w:val="773D55E5"/>
    <w:rsid w:val="77424DF3"/>
    <w:rsid w:val="776963DA"/>
    <w:rsid w:val="778E7BEF"/>
    <w:rsid w:val="779A3023"/>
    <w:rsid w:val="77C43611"/>
    <w:rsid w:val="77E37F3B"/>
    <w:rsid w:val="78191BAF"/>
    <w:rsid w:val="78202F3D"/>
    <w:rsid w:val="783C59EE"/>
    <w:rsid w:val="784F55D0"/>
    <w:rsid w:val="787119EB"/>
    <w:rsid w:val="788039DC"/>
    <w:rsid w:val="78833532"/>
    <w:rsid w:val="78B90C9C"/>
    <w:rsid w:val="79366790"/>
    <w:rsid w:val="79872B48"/>
    <w:rsid w:val="79B7167F"/>
    <w:rsid w:val="7A2D13ED"/>
    <w:rsid w:val="7A61783D"/>
    <w:rsid w:val="7A925C48"/>
    <w:rsid w:val="7B0D52CF"/>
    <w:rsid w:val="7B1D19B6"/>
    <w:rsid w:val="7B1D7C08"/>
    <w:rsid w:val="7B2014A6"/>
    <w:rsid w:val="7B3E36DA"/>
    <w:rsid w:val="7B3E7251"/>
    <w:rsid w:val="7B4A207F"/>
    <w:rsid w:val="7B8F3F36"/>
    <w:rsid w:val="7BA86037"/>
    <w:rsid w:val="7BFF730D"/>
    <w:rsid w:val="7C030BAC"/>
    <w:rsid w:val="7C042B76"/>
    <w:rsid w:val="7C357264"/>
    <w:rsid w:val="7C4D1E27"/>
    <w:rsid w:val="7C6B04FF"/>
    <w:rsid w:val="7C7A4EDD"/>
    <w:rsid w:val="7CC320E9"/>
    <w:rsid w:val="7CCD2F68"/>
    <w:rsid w:val="7CD36C81"/>
    <w:rsid w:val="7CFE75C5"/>
    <w:rsid w:val="7D250FF6"/>
    <w:rsid w:val="7D292894"/>
    <w:rsid w:val="7D526B1E"/>
    <w:rsid w:val="7D697134"/>
    <w:rsid w:val="7D6E64F9"/>
    <w:rsid w:val="7D8C697F"/>
    <w:rsid w:val="7D9817C8"/>
    <w:rsid w:val="7DD82E3C"/>
    <w:rsid w:val="7DD87E16"/>
    <w:rsid w:val="7DFA4230"/>
    <w:rsid w:val="7E374B3D"/>
    <w:rsid w:val="7E633B84"/>
    <w:rsid w:val="7EF35025"/>
    <w:rsid w:val="7F385010"/>
    <w:rsid w:val="7F5B485B"/>
    <w:rsid w:val="7F985AAF"/>
    <w:rsid w:val="7FDA60C7"/>
    <w:rsid w:val="7FEB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hAnsi="Courier New" w:cs="Courier New" w:asciiTheme="minorEastAsia" w:eastAsiaTheme="minorEastAsi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纯文本 Char"/>
    <w:basedOn w:val="8"/>
    <w:link w:val="2"/>
    <w:semiHidden/>
    <w:qFormat/>
    <w:uiPriority w:val="99"/>
    <w:rPr>
      <w:rFonts w:hAnsi="Courier New" w:cs="Courier New" w:asciiTheme="minorEastAsia"/>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5</Pages>
  <Words>2129</Words>
  <Characters>2245</Characters>
  <Lines>19</Lines>
  <Paragraphs>5</Paragraphs>
  <TotalTime>162</TotalTime>
  <ScaleCrop>false</ScaleCrop>
  <LinksUpToDate>false</LinksUpToDate>
  <CharactersWithSpaces>2247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2021-01-12T01:37:00Z</dcterms:created>
  <dc:creator>pc</dc:creator>
  <cp:lastModifiedBy> </cp:lastModifiedBy>
  <cp:lastPrinted>2023-01-11T08:33:00Z</cp:lastPrinted>
  <dcterms:modified xsi:type="dcterms:W3CDTF">2023-01-17T01:18:34Z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1957241E98AE4229A7BE6D4E56483367</vt:lpwstr>
  </property>
</Properties>
</file>