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beforeLines="100" w:after="240" w:afterLines="100"/>
        <w:ind w:firstLine="0" w:firstLineChars="0"/>
        <w:jc w:val="center"/>
        <w:rPr>
          <w:b/>
          <w:bCs/>
          <w:sz w:val="32"/>
          <w:szCs w:val="32"/>
        </w:rPr>
      </w:pPr>
      <w:bookmarkStart w:id="0" w:name="_Toc29207"/>
      <w:bookmarkStart w:id="1" w:name="_Toc30795"/>
      <w:r>
        <w:rPr>
          <w:b/>
          <w:bCs/>
          <w:sz w:val="32"/>
          <w:szCs w:val="32"/>
        </w:rPr>
        <w:t>目 录</w:t>
      </w:r>
    </w:p>
    <w:bookmarkEnd w:id="0"/>
    <w:bookmarkEnd w:id="1"/>
    <w:p>
      <w:pPr>
        <w:pStyle w:val="8"/>
        <w:tabs>
          <w:tab w:val="right" w:leader="dot" w:pos="8901"/>
        </w:tabs>
      </w:pPr>
      <w:r>
        <w:rPr>
          <w:rFonts w:cs="Times New Roman"/>
          <w:sz w:val="28"/>
          <w:szCs w:val="28"/>
        </w:rPr>
        <w:fldChar w:fldCharType="begin"/>
      </w:r>
      <w:r>
        <w:rPr>
          <w:rFonts w:cs="Times New Roman"/>
          <w:sz w:val="28"/>
          <w:szCs w:val="28"/>
        </w:rPr>
        <w:instrText xml:space="preserve"> TOC \o "1-2" \h \z \u </w:instrText>
      </w:r>
      <w:r>
        <w:rPr>
          <w:rFonts w:cs="Times New Roman"/>
          <w:sz w:val="28"/>
          <w:szCs w:val="28"/>
        </w:rPr>
        <w:fldChar w:fldCharType="separate"/>
      </w:r>
      <w:r>
        <w:fldChar w:fldCharType="begin"/>
      </w:r>
      <w:r>
        <w:instrText xml:space="preserve"> HYPERLINK \l "_Toc25958" </w:instrText>
      </w:r>
      <w:r>
        <w:fldChar w:fldCharType="separate"/>
      </w:r>
      <w:r>
        <w:rPr>
          <w:rFonts w:cs="Times New Roman"/>
        </w:rPr>
        <w:t>1总则</w:t>
      </w:r>
      <w:r>
        <w:tab/>
      </w:r>
      <w:r>
        <w:fldChar w:fldCharType="begin"/>
      </w:r>
      <w:r>
        <w:instrText xml:space="preserve"> PAGEREF _Toc25958 \h </w:instrText>
      </w:r>
      <w:r>
        <w:fldChar w:fldCharType="separate"/>
      </w:r>
      <w:r>
        <w:t>1</w:t>
      </w:r>
      <w:r>
        <w:fldChar w:fldCharType="end"/>
      </w:r>
      <w:r>
        <w:fldChar w:fldCharType="end"/>
      </w:r>
    </w:p>
    <w:p>
      <w:pPr>
        <w:pStyle w:val="9"/>
        <w:tabs>
          <w:tab w:val="right" w:leader="dot" w:pos="8901"/>
        </w:tabs>
        <w:ind w:left="480"/>
      </w:pPr>
      <w:r>
        <w:fldChar w:fldCharType="begin"/>
      </w:r>
      <w:r>
        <w:instrText xml:space="preserve"> HYPERLINK \l "_Toc5612" </w:instrText>
      </w:r>
      <w:r>
        <w:fldChar w:fldCharType="separate"/>
      </w:r>
      <w:r>
        <w:t>1.1 编制目的</w:t>
      </w:r>
      <w:r>
        <w:tab/>
      </w:r>
      <w:r>
        <w:fldChar w:fldCharType="begin"/>
      </w:r>
      <w:r>
        <w:instrText xml:space="preserve"> PAGEREF _Toc5612 \h </w:instrText>
      </w:r>
      <w:r>
        <w:fldChar w:fldCharType="separate"/>
      </w:r>
      <w:r>
        <w:t>1</w:t>
      </w:r>
      <w:r>
        <w:fldChar w:fldCharType="end"/>
      </w:r>
      <w:r>
        <w:fldChar w:fldCharType="end"/>
      </w:r>
    </w:p>
    <w:p>
      <w:pPr>
        <w:pStyle w:val="9"/>
        <w:tabs>
          <w:tab w:val="right" w:leader="dot" w:pos="8901"/>
        </w:tabs>
        <w:ind w:left="480"/>
      </w:pPr>
      <w:r>
        <w:fldChar w:fldCharType="begin"/>
      </w:r>
      <w:r>
        <w:instrText xml:space="preserve"> HYPERLINK \l "_Toc31417" </w:instrText>
      </w:r>
      <w:r>
        <w:fldChar w:fldCharType="separate"/>
      </w:r>
      <w:r>
        <w:t>1.2编制依据</w:t>
      </w:r>
      <w:r>
        <w:tab/>
      </w:r>
      <w:r>
        <w:fldChar w:fldCharType="begin"/>
      </w:r>
      <w:r>
        <w:instrText xml:space="preserve"> PAGEREF _Toc31417 \h </w:instrText>
      </w:r>
      <w:r>
        <w:fldChar w:fldCharType="separate"/>
      </w:r>
      <w:r>
        <w:t>1</w:t>
      </w:r>
      <w:r>
        <w:fldChar w:fldCharType="end"/>
      </w:r>
      <w:r>
        <w:fldChar w:fldCharType="end"/>
      </w:r>
    </w:p>
    <w:p>
      <w:pPr>
        <w:pStyle w:val="9"/>
        <w:tabs>
          <w:tab w:val="right" w:leader="dot" w:pos="8901"/>
        </w:tabs>
        <w:ind w:left="480"/>
      </w:pPr>
      <w:r>
        <w:fldChar w:fldCharType="begin"/>
      </w:r>
      <w:r>
        <w:instrText xml:space="preserve"> HYPERLINK \l "_Toc21544" </w:instrText>
      </w:r>
      <w:r>
        <w:fldChar w:fldCharType="separate"/>
      </w:r>
      <w:r>
        <w:t>1.3工作原则</w:t>
      </w:r>
      <w:r>
        <w:tab/>
      </w:r>
      <w:r>
        <w:fldChar w:fldCharType="begin"/>
      </w:r>
      <w:r>
        <w:instrText xml:space="preserve"> PAGEREF _Toc21544 \h </w:instrText>
      </w:r>
      <w:r>
        <w:fldChar w:fldCharType="separate"/>
      </w:r>
      <w:r>
        <w:t>2</w:t>
      </w:r>
      <w:r>
        <w:fldChar w:fldCharType="end"/>
      </w:r>
      <w:r>
        <w:fldChar w:fldCharType="end"/>
      </w:r>
    </w:p>
    <w:p>
      <w:pPr>
        <w:pStyle w:val="9"/>
        <w:tabs>
          <w:tab w:val="right" w:leader="dot" w:pos="8901"/>
        </w:tabs>
        <w:ind w:left="480"/>
      </w:pPr>
      <w:r>
        <w:fldChar w:fldCharType="begin"/>
      </w:r>
      <w:r>
        <w:instrText xml:space="preserve"> HYPERLINK \l "_Toc12169" </w:instrText>
      </w:r>
      <w:r>
        <w:fldChar w:fldCharType="separate"/>
      </w:r>
      <w:r>
        <w:t>1.4 适用范围</w:t>
      </w:r>
      <w:r>
        <w:tab/>
      </w:r>
      <w:r>
        <w:fldChar w:fldCharType="begin"/>
      </w:r>
      <w:r>
        <w:instrText xml:space="preserve"> PAGEREF _Toc12169 \h </w:instrText>
      </w:r>
      <w:r>
        <w:fldChar w:fldCharType="separate"/>
      </w:r>
      <w:r>
        <w:t>2</w:t>
      </w:r>
      <w:r>
        <w:fldChar w:fldCharType="end"/>
      </w:r>
      <w:r>
        <w:fldChar w:fldCharType="end"/>
      </w:r>
    </w:p>
    <w:p>
      <w:pPr>
        <w:pStyle w:val="9"/>
        <w:tabs>
          <w:tab w:val="right" w:leader="dot" w:pos="8901"/>
        </w:tabs>
        <w:ind w:left="480"/>
      </w:pPr>
      <w:r>
        <w:fldChar w:fldCharType="begin"/>
      </w:r>
      <w:r>
        <w:instrText xml:space="preserve"> HYPERLINK \l "_Toc10444" </w:instrText>
      </w:r>
      <w:r>
        <w:fldChar w:fldCharType="separate"/>
      </w:r>
      <w:r>
        <w:t>1.5 编制任务由来</w:t>
      </w:r>
      <w:r>
        <w:tab/>
      </w:r>
      <w:r>
        <w:fldChar w:fldCharType="begin"/>
      </w:r>
      <w:r>
        <w:instrText xml:space="preserve"> PAGEREF _Toc10444 \h </w:instrText>
      </w:r>
      <w:r>
        <w:fldChar w:fldCharType="separate"/>
      </w:r>
      <w:r>
        <w:t>3</w:t>
      </w:r>
      <w:r>
        <w:fldChar w:fldCharType="end"/>
      </w:r>
      <w:r>
        <w:fldChar w:fldCharType="end"/>
      </w:r>
    </w:p>
    <w:p>
      <w:pPr>
        <w:pStyle w:val="8"/>
        <w:tabs>
          <w:tab w:val="right" w:leader="dot" w:pos="8901"/>
        </w:tabs>
      </w:pPr>
      <w:r>
        <w:fldChar w:fldCharType="begin"/>
      </w:r>
      <w:r>
        <w:instrText xml:space="preserve"> HYPERLINK \l "_Toc4990" </w:instrText>
      </w:r>
      <w:r>
        <w:fldChar w:fldCharType="separate"/>
      </w:r>
      <w:r>
        <w:rPr>
          <w:rFonts w:cs="Times New Roman"/>
        </w:rPr>
        <w:t>2工程概况</w:t>
      </w:r>
      <w:r>
        <w:tab/>
      </w:r>
      <w:r>
        <w:fldChar w:fldCharType="begin"/>
      </w:r>
      <w:r>
        <w:instrText xml:space="preserve"> PAGEREF _Toc4990 \h </w:instrText>
      </w:r>
      <w:r>
        <w:fldChar w:fldCharType="separate"/>
      </w:r>
      <w:r>
        <w:t>4</w:t>
      </w:r>
      <w:r>
        <w:fldChar w:fldCharType="end"/>
      </w:r>
      <w:r>
        <w:fldChar w:fldCharType="end"/>
      </w:r>
    </w:p>
    <w:p>
      <w:pPr>
        <w:pStyle w:val="9"/>
        <w:tabs>
          <w:tab w:val="right" w:leader="dot" w:pos="8901"/>
        </w:tabs>
        <w:ind w:left="480"/>
      </w:pPr>
      <w:r>
        <w:fldChar w:fldCharType="begin"/>
      </w:r>
      <w:r>
        <w:instrText xml:space="preserve"> HYPERLINK \l "_Toc9698" </w:instrText>
      </w:r>
      <w:r>
        <w:fldChar w:fldCharType="separate"/>
      </w:r>
      <w:r>
        <w:t>2.1流域概况</w:t>
      </w:r>
      <w:r>
        <w:tab/>
      </w:r>
      <w:r>
        <w:fldChar w:fldCharType="begin"/>
      </w:r>
      <w:r>
        <w:instrText xml:space="preserve"> PAGEREF _Toc9698 \h </w:instrText>
      </w:r>
      <w:r>
        <w:fldChar w:fldCharType="separate"/>
      </w:r>
      <w:r>
        <w:t>4</w:t>
      </w:r>
      <w:r>
        <w:fldChar w:fldCharType="end"/>
      </w:r>
      <w:r>
        <w:fldChar w:fldCharType="end"/>
      </w:r>
    </w:p>
    <w:p>
      <w:pPr>
        <w:pStyle w:val="9"/>
        <w:tabs>
          <w:tab w:val="right" w:leader="dot" w:pos="8901"/>
        </w:tabs>
        <w:ind w:left="480"/>
      </w:pPr>
      <w:r>
        <w:fldChar w:fldCharType="begin"/>
      </w:r>
      <w:r>
        <w:instrText xml:space="preserve"> HYPERLINK \l "_Toc13688" </w:instrText>
      </w:r>
      <w:r>
        <w:fldChar w:fldCharType="separate"/>
      </w:r>
      <w:r>
        <w:t>2.2工程基本情况</w:t>
      </w:r>
      <w:r>
        <w:tab/>
      </w:r>
      <w:r>
        <w:fldChar w:fldCharType="begin"/>
      </w:r>
      <w:r>
        <w:instrText xml:space="preserve"> PAGEREF _Toc13688 \h </w:instrText>
      </w:r>
      <w:r>
        <w:fldChar w:fldCharType="separate"/>
      </w:r>
      <w:r>
        <w:t>5</w:t>
      </w:r>
      <w:r>
        <w:fldChar w:fldCharType="end"/>
      </w:r>
      <w:r>
        <w:fldChar w:fldCharType="end"/>
      </w:r>
    </w:p>
    <w:p>
      <w:pPr>
        <w:pStyle w:val="9"/>
        <w:tabs>
          <w:tab w:val="right" w:leader="dot" w:pos="8901"/>
        </w:tabs>
        <w:ind w:left="480"/>
      </w:pPr>
      <w:r>
        <w:fldChar w:fldCharType="begin"/>
      </w:r>
      <w:r>
        <w:instrText xml:space="preserve"> HYPERLINK \l "_Toc14303" </w:instrText>
      </w:r>
      <w:r>
        <w:fldChar w:fldCharType="separate"/>
      </w:r>
      <w:r>
        <w:t>2.3水文</w:t>
      </w:r>
      <w:r>
        <w:tab/>
      </w:r>
      <w:r>
        <w:fldChar w:fldCharType="begin"/>
      </w:r>
      <w:r>
        <w:instrText xml:space="preserve"> PAGEREF _Toc14303 \h </w:instrText>
      </w:r>
      <w:r>
        <w:fldChar w:fldCharType="separate"/>
      </w:r>
      <w:r>
        <w:t>10</w:t>
      </w:r>
      <w:r>
        <w:fldChar w:fldCharType="end"/>
      </w:r>
      <w:r>
        <w:fldChar w:fldCharType="end"/>
      </w:r>
    </w:p>
    <w:p>
      <w:pPr>
        <w:pStyle w:val="9"/>
        <w:tabs>
          <w:tab w:val="right" w:leader="dot" w:pos="8901"/>
        </w:tabs>
        <w:ind w:left="480"/>
      </w:pPr>
      <w:r>
        <w:fldChar w:fldCharType="begin"/>
      </w:r>
      <w:r>
        <w:instrText xml:space="preserve"> HYPERLINK \l "_Toc19683" </w:instrText>
      </w:r>
      <w:r>
        <w:fldChar w:fldCharType="separate"/>
      </w:r>
      <w:r>
        <w:t>2.4工程安全监测</w:t>
      </w:r>
      <w:r>
        <w:tab/>
      </w:r>
      <w:r>
        <w:fldChar w:fldCharType="begin"/>
      </w:r>
      <w:r>
        <w:instrText xml:space="preserve"> PAGEREF _Toc19683 \h </w:instrText>
      </w:r>
      <w:r>
        <w:fldChar w:fldCharType="separate"/>
      </w:r>
      <w:r>
        <w:t>12</w:t>
      </w:r>
      <w:r>
        <w:fldChar w:fldCharType="end"/>
      </w:r>
      <w:r>
        <w:fldChar w:fldCharType="end"/>
      </w:r>
    </w:p>
    <w:p>
      <w:pPr>
        <w:pStyle w:val="9"/>
        <w:tabs>
          <w:tab w:val="right" w:leader="dot" w:pos="8901"/>
        </w:tabs>
        <w:ind w:left="480"/>
      </w:pPr>
      <w:r>
        <w:fldChar w:fldCharType="begin"/>
      </w:r>
      <w:r>
        <w:instrText xml:space="preserve"> HYPERLINK \l "_Toc27167" </w:instrText>
      </w:r>
      <w:r>
        <w:fldChar w:fldCharType="separate"/>
      </w:r>
      <w:r>
        <w:t>2.5汛期调度运用计划</w:t>
      </w:r>
      <w:r>
        <w:tab/>
      </w:r>
      <w:r>
        <w:fldChar w:fldCharType="begin"/>
      </w:r>
      <w:r>
        <w:instrText xml:space="preserve"> PAGEREF _Toc27167 \h </w:instrText>
      </w:r>
      <w:r>
        <w:fldChar w:fldCharType="separate"/>
      </w:r>
      <w:r>
        <w:t>13</w:t>
      </w:r>
      <w:r>
        <w:fldChar w:fldCharType="end"/>
      </w:r>
      <w:r>
        <w:fldChar w:fldCharType="end"/>
      </w:r>
    </w:p>
    <w:p>
      <w:pPr>
        <w:pStyle w:val="9"/>
        <w:tabs>
          <w:tab w:val="right" w:leader="dot" w:pos="8901"/>
        </w:tabs>
        <w:ind w:left="480"/>
      </w:pPr>
      <w:r>
        <w:fldChar w:fldCharType="begin"/>
      </w:r>
      <w:r>
        <w:instrText xml:space="preserve"> HYPERLINK \l "_Toc10943" </w:instrText>
      </w:r>
      <w:r>
        <w:fldChar w:fldCharType="separate"/>
      </w:r>
      <w:r>
        <w:t>2.6历史灾害及抢险情况</w:t>
      </w:r>
      <w:r>
        <w:tab/>
      </w:r>
      <w:r>
        <w:fldChar w:fldCharType="begin"/>
      </w:r>
      <w:r>
        <w:instrText xml:space="preserve"> PAGEREF _Toc10943 \h </w:instrText>
      </w:r>
      <w:r>
        <w:fldChar w:fldCharType="separate"/>
      </w:r>
      <w:r>
        <w:t>13</w:t>
      </w:r>
      <w:r>
        <w:fldChar w:fldCharType="end"/>
      </w:r>
      <w:r>
        <w:fldChar w:fldCharType="end"/>
      </w:r>
    </w:p>
    <w:p>
      <w:pPr>
        <w:pStyle w:val="9"/>
        <w:tabs>
          <w:tab w:val="right" w:leader="dot" w:pos="8901"/>
        </w:tabs>
        <w:ind w:left="480"/>
      </w:pPr>
      <w:r>
        <w:fldChar w:fldCharType="begin"/>
      </w:r>
      <w:r>
        <w:instrText xml:space="preserve"> HYPERLINK \l "_Toc22614" </w:instrText>
      </w:r>
      <w:r>
        <w:fldChar w:fldCharType="separate"/>
      </w:r>
      <w:r>
        <w:t>2.7水库上下游影响范围概况</w:t>
      </w:r>
      <w:r>
        <w:tab/>
      </w:r>
      <w:r>
        <w:fldChar w:fldCharType="begin"/>
      </w:r>
      <w:r>
        <w:instrText xml:space="preserve"> PAGEREF _Toc22614 \h </w:instrText>
      </w:r>
      <w:r>
        <w:fldChar w:fldCharType="separate"/>
      </w:r>
      <w:r>
        <w:t>14</w:t>
      </w:r>
      <w:r>
        <w:fldChar w:fldCharType="end"/>
      </w:r>
      <w:r>
        <w:fldChar w:fldCharType="end"/>
      </w:r>
    </w:p>
    <w:p>
      <w:pPr>
        <w:pStyle w:val="8"/>
        <w:tabs>
          <w:tab w:val="right" w:leader="dot" w:pos="8901"/>
        </w:tabs>
      </w:pPr>
      <w:r>
        <w:fldChar w:fldCharType="begin"/>
      </w:r>
      <w:r>
        <w:instrText xml:space="preserve"> HYPERLINK \l "_Toc6111" </w:instrText>
      </w:r>
      <w:r>
        <w:fldChar w:fldCharType="separate"/>
      </w:r>
      <w:r>
        <w:rPr>
          <w:rFonts w:cs="Times New Roman"/>
          <w:bCs/>
        </w:rPr>
        <w:t>3突发事件危害性分析</w:t>
      </w:r>
      <w:r>
        <w:tab/>
      </w:r>
      <w:r>
        <w:fldChar w:fldCharType="begin"/>
      </w:r>
      <w:r>
        <w:instrText xml:space="preserve"> PAGEREF _Toc6111 \h </w:instrText>
      </w:r>
      <w:r>
        <w:fldChar w:fldCharType="separate"/>
      </w:r>
      <w:r>
        <w:t>16</w:t>
      </w:r>
      <w:r>
        <w:fldChar w:fldCharType="end"/>
      </w:r>
      <w:r>
        <w:fldChar w:fldCharType="end"/>
      </w:r>
    </w:p>
    <w:p>
      <w:pPr>
        <w:pStyle w:val="9"/>
        <w:tabs>
          <w:tab w:val="right" w:leader="dot" w:pos="8901"/>
        </w:tabs>
        <w:ind w:left="480"/>
      </w:pPr>
      <w:r>
        <w:fldChar w:fldCharType="begin"/>
      </w:r>
      <w:r>
        <w:instrText xml:space="preserve"> HYPERLINK \l "_Toc31816" </w:instrText>
      </w:r>
      <w:r>
        <w:fldChar w:fldCharType="separate"/>
      </w:r>
      <w:r>
        <w:t>3.1重大工程险情分析</w:t>
      </w:r>
      <w:r>
        <w:tab/>
      </w:r>
      <w:r>
        <w:fldChar w:fldCharType="begin"/>
      </w:r>
      <w:r>
        <w:instrText xml:space="preserve"> PAGEREF _Toc31816 \h </w:instrText>
      </w:r>
      <w:r>
        <w:fldChar w:fldCharType="separate"/>
      </w:r>
      <w:r>
        <w:t>16</w:t>
      </w:r>
      <w:r>
        <w:fldChar w:fldCharType="end"/>
      </w:r>
      <w:r>
        <w:fldChar w:fldCharType="end"/>
      </w:r>
    </w:p>
    <w:p>
      <w:pPr>
        <w:pStyle w:val="9"/>
        <w:tabs>
          <w:tab w:val="right" w:leader="dot" w:pos="8901"/>
        </w:tabs>
        <w:ind w:left="480"/>
      </w:pPr>
      <w:r>
        <w:fldChar w:fldCharType="begin"/>
      </w:r>
      <w:r>
        <w:instrText xml:space="preserve"> HYPERLINK \l "_Toc12846" </w:instrText>
      </w:r>
      <w:r>
        <w:fldChar w:fldCharType="separate"/>
      </w:r>
      <w:r>
        <w:t>3.2溃坝分析</w:t>
      </w:r>
      <w:r>
        <w:tab/>
      </w:r>
      <w:r>
        <w:fldChar w:fldCharType="begin"/>
      </w:r>
      <w:r>
        <w:instrText xml:space="preserve"> PAGEREF _Toc12846 \h </w:instrText>
      </w:r>
      <w:r>
        <w:fldChar w:fldCharType="separate"/>
      </w:r>
      <w:r>
        <w:t>17</w:t>
      </w:r>
      <w:r>
        <w:fldChar w:fldCharType="end"/>
      </w:r>
      <w:r>
        <w:fldChar w:fldCharType="end"/>
      </w:r>
    </w:p>
    <w:p>
      <w:pPr>
        <w:pStyle w:val="8"/>
        <w:tabs>
          <w:tab w:val="right" w:leader="dot" w:pos="8901"/>
        </w:tabs>
      </w:pPr>
      <w:r>
        <w:fldChar w:fldCharType="begin"/>
      </w:r>
      <w:r>
        <w:instrText xml:space="preserve"> HYPERLINK \l "_Toc17036" </w:instrText>
      </w:r>
      <w:r>
        <w:fldChar w:fldCharType="separate"/>
      </w:r>
      <w:r>
        <w:rPr>
          <w:rFonts w:cs="Times New Roman"/>
        </w:rPr>
        <w:t>4险情监测与报告</w:t>
      </w:r>
      <w:r>
        <w:tab/>
      </w:r>
      <w:r>
        <w:fldChar w:fldCharType="begin"/>
      </w:r>
      <w:r>
        <w:instrText xml:space="preserve"> PAGEREF _Toc17036 \h </w:instrText>
      </w:r>
      <w:r>
        <w:fldChar w:fldCharType="separate"/>
      </w:r>
      <w:r>
        <w:t>22</w:t>
      </w:r>
      <w:r>
        <w:fldChar w:fldCharType="end"/>
      </w:r>
      <w:r>
        <w:fldChar w:fldCharType="end"/>
      </w:r>
    </w:p>
    <w:p>
      <w:pPr>
        <w:pStyle w:val="9"/>
        <w:tabs>
          <w:tab w:val="right" w:leader="dot" w:pos="8901"/>
        </w:tabs>
        <w:ind w:left="480"/>
      </w:pPr>
      <w:r>
        <w:fldChar w:fldCharType="begin"/>
      </w:r>
      <w:r>
        <w:instrText xml:space="preserve"> HYPERLINK \l "_Toc10484" </w:instrText>
      </w:r>
      <w:r>
        <w:fldChar w:fldCharType="separate"/>
      </w:r>
      <w:r>
        <w:t>4.1险情监测和巡查</w:t>
      </w:r>
      <w:r>
        <w:tab/>
      </w:r>
      <w:r>
        <w:fldChar w:fldCharType="begin"/>
      </w:r>
      <w:r>
        <w:instrText xml:space="preserve"> PAGEREF _Toc10484 \h </w:instrText>
      </w:r>
      <w:r>
        <w:fldChar w:fldCharType="separate"/>
      </w:r>
      <w:r>
        <w:t>22</w:t>
      </w:r>
      <w:r>
        <w:fldChar w:fldCharType="end"/>
      </w:r>
      <w:r>
        <w:fldChar w:fldCharType="end"/>
      </w:r>
    </w:p>
    <w:p>
      <w:pPr>
        <w:pStyle w:val="9"/>
        <w:tabs>
          <w:tab w:val="right" w:leader="dot" w:pos="8901"/>
        </w:tabs>
        <w:ind w:left="480"/>
      </w:pPr>
      <w:r>
        <w:fldChar w:fldCharType="begin"/>
      </w:r>
      <w:r>
        <w:instrText xml:space="preserve"> HYPERLINK \l "_Toc26152" </w:instrText>
      </w:r>
      <w:r>
        <w:fldChar w:fldCharType="separate"/>
      </w:r>
      <w:r>
        <w:t>4.2险情上报与通报</w:t>
      </w:r>
      <w:r>
        <w:tab/>
      </w:r>
      <w:r>
        <w:fldChar w:fldCharType="begin"/>
      </w:r>
      <w:r>
        <w:instrText xml:space="preserve"> PAGEREF _Toc26152 \h </w:instrText>
      </w:r>
      <w:r>
        <w:fldChar w:fldCharType="separate"/>
      </w:r>
      <w:r>
        <w:t>23</w:t>
      </w:r>
      <w:r>
        <w:fldChar w:fldCharType="end"/>
      </w:r>
      <w:r>
        <w:fldChar w:fldCharType="end"/>
      </w:r>
    </w:p>
    <w:p>
      <w:pPr>
        <w:pStyle w:val="8"/>
        <w:tabs>
          <w:tab w:val="right" w:leader="dot" w:pos="8901"/>
        </w:tabs>
      </w:pPr>
      <w:r>
        <w:fldChar w:fldCharType="begin"/>
      </w:r>
      <w:r>
        <w:instrText xml:space="preserve"> HYPERLINK \l "_Toc30836" </w:instrText>
      </w:r>
      <w:r>
        <w:fldChar w:fldCharType="separate"/>
      </w:r>
      <w:r>
        <w:rPr>
          <w:rFonts w:cs="Times New Roman"/>
        </w:rPr>
        <w:t>5险情抢护</w:t>
      </w:r>
      <w:r>
        <w:tab/>
      </w:r>
      <w:r>
        <w:fldChar w:fldCharType="begin"/>
      </w:r>
      <w:r>
        <w:instrText xml:space="preserve"> PAGEREF _Toc30836 \h </w:instrText>
      </w:r>
      <w:r>
        <w:fldChar w:fldCharType="separate"/>
      </w:r>
      <w:r>
        <w:t>25</w:t>
      </w:r>
      <w:r>
        <w:fldChar w:fldCharType="end"/>
      </w:r>
      <w:r>
        <w:fldChar w:fldCharType="end"/>
      </w:r>
    </w:p>
    <w:p>
      <w:pPr>
        <w:pStyle w:val="9"/>
        <w:tabs>
          <w:tab w:val="right" w:leader="dot" w:pos="8901"/>
        </w:tabs>
        <w:ind w:left="480"/>
      </w:pPr>
      <w:r>
        <w:fldChar w:fldCharType="begin"/>
      </w:r>
      <w:r>
        <w:instrText xml:space="preserve"> HYPERLINK \l "_Toc21062" </w:instrText>
      </w:r>
      <w:r>
        <w:fldChar w:fldCharType="separate"/>
      </w:r>
      <w:r>
        <w:t>5.1抢险调度</w:t>
      </w:r>
      <w:r>
        <w:tab/>
      </w:r>
      <w:r>
        <w:fldChar w:fldCharType="begin"/>
      </w:r>
      <w:r>
        <w:instrText xml:space="preserve"> PAGEREF _Toc21062 \h </w:instrText>
      </w:r>
      <w:r>
        <w:fldChar w:fldCharType="separate"/>
      </w:r>
      <w:r>
        <w:t>25</w:t>
      </w:r>
      <w:r>
        <w:fldChar w:fldCharType="end"/>
      </w:r>
      <w:r>
        <w:fldChar w:fldCharType="end"/>
      </w:r>
    </w:p>
    <w:p>
      <w:pPr>
        <w:pStyle w:val="9"/>
        <w:tabs>
          <w:tab w:val="right" w:leader="dot" w:pos="8901"/>
        </w:tabs>
        <w:ind w:left="480"/>
      </w:pPr>
      <w:r>
        <w:fldChar w:fldCharType="begin"/>
      </w:r>
      <w:r>
        <w:instrText xml:space="preserve"> HYPERLINK \l "_Toc1889" </w:instrText>
      </w:r>
      <w:r>
        <w:fldChar w:fldCharType="separate"/>
      </w:r>
      <w:r>
        <w:t>5.2抢险措施</w:t>
      </w:r>
      <w:r>
        <w:tab/>
      </w:r>
      <w:r>
        <w:fldChar w:fldCharType="begin"/>
      </w:r>
      <w:r>
        <w:instrText xml:space="preserve"> PAGEREF _Toc1889 \h </w:instrText>
      </w:r>
      <w:r>
        <w:fldChar w:fldCharType="separate"/>
      </w:r>
      <w:r>
        <w:t>27</w:t>
      </w:r>
      <w:r>
        <w:fldChar w:fldCharType="end"/>
      </w:r>
      <w:r>
        <w:fldChar w:fldCharType="end"/>
      </w:r>
    </w:p>
    <w:p>
      <w:pPr>
        <w:pStyle w:val="9"/>
        <w:tabs>
          <w:tab w:val="right" w:leader="dot" w:pos="8901"/>
        </w:tabs>
        <w:ind w:left="480"/>
      </w:pPr>
      <w:r>
        <w:fldChar w:fldCharType="begin"/>
      </w:r>
      <w:r>
        <w:instrText xml:space="preserve"> HYPERLINK \l "_Toc592" </w:instrText>
      </w:r>
      <w:r>
        <w:fldChar w:fldCharType="separate"/>
      </w:r>
      <w:r>
        <w:t>5.3应急转移</w:t>
      </w:r>
      <w:r>
        <w:tab/>
      </w:r>
      <w:r>
        <w:fldChar w:fldCharType="begin"/>
      </w:r>
      <w:r>
        <w:instrText xml:space="preserve"> PAGEREF _Toc592 \h </w:instrText>
      </w:r>
      <w:r>
        <w:fldChar w:fldCharType="separate"/>
      </w:r>
      <w:r>
        <w:t>29</w:t>
      </w:r>
      <w:r>
        <w:fldChar w:fldCharType="end"/>
      </w:r>
      <w:r>
        <w:fldChar w:fldCharType="end"/>
      </w:r>
    </w:p>
    <w:p>
      <w:pPr>
        <w:pStyle w:val="9"/>
        <w:tabs>
          <w:tab w:val="right" w:leader="dot" w:pos="8901"/>
        </w:tabs>
        <w:ind w:left="480"/>
      </w:pPr>
      <w:r>
        <w:fldChar w:fldCharType="begin"/>
      </w:r>
      <w:r>
        <w:instrText xml:space="preserve"> HYPERLINK \l "_Toc23792" </w:instrText>
      </w:r>
      <w:r>
        <w:fldChar w:fldCharType="separate"/>
      </w:r>
      <w:r>
        <w:t>5.4应急处置流程图</w:t>
      </w:r>
      <w:r>
        <w:tab/>
      </w:r>
      <w:r>
        <w:fldChar w:fldCharType="begin"/>
      </w:r>
      <w:r>
        <w:instrText xml:space="preserve"> PAGEREF _Toc23792 \h </w:instrText>
      </w:r>
      <w:r>
        <w:fldChar w:fldCharType="separate"/>
      </w:r>
      <w:r>
        <w:t>33</w:t>
      </w:r>
      <w:r>
        <w:fldChar w:fldCharType="end"/>
      </w:r>
      <w:r>
        <w:fldChar w:fldCharType="end"/>
      </w:r>
    </w:p>
    <w:p>
      <w:pPr>
        <w:pStyle w:val="8"/>
        <w:tabs>
          <w:tab w:val="right" w:leader="dot" w:pos="8901"/>
        </w:tabs>
      </w:pPr>
      <w:r>
        <w:fldChar w:fldCharType="begin"/>
      </w:r>
      <w:r>
        <w:instrText xml:space="preserve"> HYPERLINK \l "_Toc23609" </w:instrText>
      </w:r>
      <w:r>
        <w:fldChar w:fldCharType="separate"/>
      </w:r>
      <w:r>
        <w:rPr>
          <w:rFonts w:cs="Times New Roman"/>
        </w:rPr>
        <w:t>6《应急预案》的启动与结束</w:t>
      </w:r>
      <w:r>
        <w:tab/>
      </w:r>
      <w:r>
        <w:fldChar w:fldCharType="begin"/>
      </w:r>
      <w:r>
        <w:instrText xml:space="preserve"> PAGEREF _Toc23609 \h </w:instrText>
      </w:r>
      <w:r>
        <w:fldChar w:fldCharType="separate"/>
      </w:r>
      <w:r>
        <w:t>34</w:t>
      </w:r>
      <w:r>
        <w:fldChar w:fldCharType="end"/>
      </w:r>
      <w:r>
        <w:fldChar w:fldCharType="end"/>
      </w:r>
    </w:p>
    <w:p>
      <w:pPr>
        <w:pStyle w:val="9"/>
        <w:tabs>
          <w:tab w:val="right" w:leader="dot" w:pos="8901"/>
        </w:tabs>
        <w:ind w:left="480"/>
      </w:pPr>
      <w:r>
        <w:fldChar w:fldCharType="begin"/>
      </w:r>
      <w:r>
        <w:instrText xml:space="preserve"> HYPERLINK \l "_Toc7320" </w:instrText>
      </w:r>
      <w:r>
        <w:fldChar w:fldCharType="separate"/>
      </w:r>
      <w:r>
        <w:t>6.1《应急预案》启动</w:t>
      </w:r>
      <w:r>
        <w:rPr>
          <w:rFonts w:hint="eastAsia"/>
        </w:rPr>
        <w:t>与</w:t>
      </w:r>
      <w:r>
        <w:t>结束条件</w:t>
      </w:r>
      <w:r>
        <w:tab/>
      </w:r>
      <w:r>
        <w:fldChar w:fldCharType="begin"/>
      </w:r>
      <w:r>
        <w:instrText xml:space="preserve"> PAGEREF _Toc7320 \h </w:instrText>
      </w:r>
      <w:r>
        <w:fldChar w:fldCharType="separate"/>
      </w:r>
      <w:r>
        <w:t>34</w:t>
      </w:r>
      <w:r>
        <w:fldChar w:fldCharType="end"/>
      </w:r>
      <w:r>
        <w:fldChar w:fldCharType="end"/>
      </w:r>
    </w:p>
    <w:p>
      <w:pPr>
        <w:pStyle w:val="9"/>
        <w:tabs>
          <w:tab w:val="right" w:leader="dot" w:pos="8901"/>
        </w:tabs>
        <w:ind w:left="480"/>
      </w:pPr>
      <w:r>
        <w:fldChar w:fldCharType="begin"/>
      </w:r>
      <w:r>
        <w:instrText xml:space="preserve"> HYPERLINK \l "_Toc7610" </w:instrText>
      </w:r>
      <w:r>
        <w:fldChar w:fldCharType="separate"/>
      </w:r>
      <w:r>
        <w:t>6.2预警发布和应急响应启动</w:t>
      </w:r>
      <w:r>
        <w:tab/>
      </w:r>
      <w:r>
        <w:fldChar w:fldCharType="begin"/>
      </w:r>
      <w:r>
        <w:instrText xml:space="preserve"> PAGEREF _Toc7610 \h </w:instrText>
      </w:r>
      <w:r>
        <w:fldChar w:fldCharType="separate"/>
      </w:r>
      <w:r>
        <w:t>35</w:t>
      </w:r>
      <w:r>
        <w:fldChar w:fldCharType="end"/>
      </w:r>
      <w:r>
        <w:fldChar w:fldCharType="end"/>
      </w:r>
    </w:p>
    <w:p>
      <w:pPr>
        <w:pStyle w:val="9"/>
        <w:tabs>
          <w:tab w:val="right" w:leader="dot" w:pos="8901"/>
        </w:tabs>
        <w:ind w:left="480"/>
      </w:pPr>
      <w:r>
        <w:fldChar w:fldCharType="begin"/>
      </w:r>
      <w:r>
        <w:instrText xml:space="preserve"> HYPERLINK \l "_Toc7363" </w:instrText>
      </w:r>
      <w:r>
        <w:fldChar w:fldCharType="separate"/>
      </w:r>
      <w:r>
        <w:t>6.3响应结束</w:t>
      </w:r>
      <w:r>
        <w:tab/>
      </w:r>
      <w:r>
        <w:fldChar w:fldCharType="begin"/>
      </w:r>
      <w:r>
        <w:instrText xml:space="preserve"> PAGEREF _Toc7363 \h </w:instrText>
      </w:r>
      <w:r>
        <w:fldChar w:fldCharType="separate"/>
      </w:r>
      <w:r>
        <w:t>36</w:t>
      </w:r>
      <w:r>
        <w:fldChar w:fldCharType="end"/>
      </w:r>
      <w:r>
        <w:fldChar w:fldCharType="end"/>
      </w:r>
    </w:p>
    <w:p>
      <w:pPr>
        <w:pStyle w:val="8"/>
        <w:tabs>
          <w:tab w:val="right" w:leader="dot" w:pos="8901"/>
        </w:tabs>
      </w:pPr>
      <w:r>
        <w:fldChar w:fldCharType="begin"/>
      </w:r>
      <w:r>
        <w:instrText xml:space="preserve"> HYPERLINK \l "_Toc31948" </w:instrText>
      </w:r>
      <w:r>
        <w:fldChar w:fldCharType="separate"/>
      </w:r>
      <w:r>
        <w:rPr>
          <w:rFonts w:cs="Times New Roman"/>
          <w:bCs/>
        </w:rPr>
        <w:t>7应急保障措施</w:t>
      </w:r>
      <w:r>
        <w:tab/>
      </w:r>
      <w:r>
        <w:fldChar w:fldCharType="begin"/>
      </w:r>
      <w:r>
        <w:instrText xml:space="preserve"> PAGEREF _Toc31948 \h </w:instrText>
      </w:r>
      <w:r>
        <w:fldChar w:fldCharType="separate"/>
      </w:r>
      <w:r>
        <w:t>38</w:t>
      </w:r>
      <w:r>
        <w:fldChar w:fldCharType="end"/>
      </w:r>
      <w:r>
        <w:fldChar w:fldCharType="end"/>
      </w:r>
    </w:p>
    <w:p>
      <w:pPr>
        <w:pStyle w:val="9"/>
        <w:tabs>
          <w:tab w:val="right" w:leader="dot" w:pos="8901"/>
        </w:tabs>
        <w:ind w:left="480"/>
      </w:pPr>
      <w:r>
        <w:fldChar w:fldCharType="begin"/>
      </w:r>
      <w:r>
        <w:instrText xml:space="preserve"> HYPERLINK \l "_Toc22514" </w:instrText>
      </w:r>
      <w:r>
        <w:fldChar w:fldCharType="separate"/>
      </w:r>
      <w:r>
        <w:t>7.1组织指挥体系及职责</w:t>
      </w:r>
      <w:r>
        <w:tab/>
      </w:r>
      <w:r>
        <w:fldChar w:fldCharType="begin"/>
      </w:r>
      <w:r>
        <w:instrText xml:space="preserve"> PAGEREF _Toc22514 \h </w:instrText>
      </w:r>
      <w:r>
        <w:fldChar w:fldCharType="separate"/>
      </w:r>
      <w:r>
        <w:t>38</w:t>
      </w:r>
      <w:r>
        <w:fldChar w:fldCharType="end"/>
      </w:r>
      <w:r>
        <w:fldChar w:fldCharType="end"/>
      </w:r>
    </w:p>
    <w:p>
      <w:pPr>
        <w:pStyle w:val="9"/>
        <w:tabs>
          <w:tab w:val="right" w:leader="dot" w:pos="8901"/>
        </w:tabs>
        <w:ind w:left="480"/>
      </w:pPr>
      <w:r>
        <w:fldChar w:fldCharType="begin"/>
      </w:r>
      <w:r>
        <w:instrText xml:space="preserve"> HYPERLINK \l "_Toc23724" </w:instrText>
      </w:r>
      <w:r>
        <w:fldChar w:fldCharType="separate"/>
      </w:r>
      <w:r>
        <w:t>7.2</w:t>
      </w:r>
      <w:r>
        <w:rPr>
          <w:rFonts w:hint="eastAsia"/>
        </w:rPr>
        <w:t>应急</w:t>
      </w:r>
      <w:r>
        <w:t>队伍保障</w:t>
      </w:r>
      <w:r>
        <w:tab/>
      </w:r>
      <w:r>
        <w:fldChar w:fldCharType="begin"/>
      </w:r>
      <w:r>
        <w:instrText xml:space="preserve"> PAGEREF _Toc23724 \h </w:instrText>
      </w:r>
      <w:r>
        <w:fldChar w:fldCharType="separate"/>
      </w:r>
      <w:r>
        <w:t>41</w:t>
      </w:r>
      <w:r>
        <w:fldChar w:fldCharType="end"/>
      </w:r>
      <w:r>
        <w:fldChar w:fldCharType="end"/>
      </w:r>
    </w:p>
    <w:p>
      <w:pPr>
        <w:pStyle w:val="9"/>
        <w:tabs>
          <w:tab w:val="right" w:leader="dot" w:pos="8901"/>
        </w:tabs>
        <w:ind w:left="480"/>
      </w:pPr>
      <w:r>
        <w:fldChar w:fldCharType="begin"/>
      </w:r>
      <w:r>
        <w:instrText xml:space="preserve"> HYPERLINK \l "_Toc13354" </w:instrText>
      </w:r>
      <w:r>
        <w:fldChar w:fldCharType="separate"/>
      </w:r>
      <w:r>
        <w:t>7.3物资保障</w:t>
      </w:r>
      <w:r>
        <w:tab/>
      </w:r>
      <w:r>
        <w:fldChar w:fldCharType="begin"/>
      </w:r>
      <w:r>
        <w:instrText xml:space="preserve"> PAGEREF _Toc13354 \h </w:instrText>
      </w:r>
      <w:r>
        <w:fldChar w:fldCharType="separate"/>
      </w:r>
      <w:r>
        <w:t>43</w:t>
      </w:r>
      <w:r>
        <w:fldChar w:fldCharType="end"/>
      </w:r>
      <w:r>
        <w:fldChar w:fldCharType="end"/>
      </w:r>
    </w:p>
    <w:p>
      <w:pPr>
        <w:pStyle w:val="9"/>
        <w:tabs>
          <w:tab w:val="right" w:leader="dot" w:pos="8901"/>
        </w:tabs>
        <w:ind w:left="480"/>
      </w:pPr>
      <w:r>
        <w:fldChar w:fldCharType="begin"/>
      </w:r>
      <w:r>
        <w:instrText xml:space="preserve"> HYPERLINK \l "_Toc17440" </w:instrText>
      </w:r>
      <w:r>
        <w:fldChar w:fldCharType="separate"/>
      </w:r>
      <w:r>
        <w:t>7.4通信保障</w:t>
      </w:r>
      <w:r>
        <w:tab/>
      </w:r>
      <w:r>
        <w:fldChar w:fldCharType="begin"/>
      </w:r>
      <w:r>
        <w:instrText xml:space="preserve"> PAGEREF _Toc17440 \h </w:instrText>
      </w:r>
      <w:r>
        <w:fldChar w:fldCharType="separate"/>
      </w:r>
      <w:r>
        <w:t>45</w:t>
      </w:r>
      <w:r>
        <w:fldChar w:fldCharType="end"/>
      </w:r>
      <w:r>
        <w:fldChar w:fldCharType="end"/>
      </w:r>
    </w:p>
    <w:p>
      <w:pPr>
        <w:pStyle w:val="9"/>
        <w:tabs>
          <w:tab w:val="right" w:leader="dot" w:pos="8901"/>
        </w:tabs>
        <w:ind w:left="480"/>
      </w:pPr>
      <w:r>
        <w:fldChar w:fldCharType="begin"/>
      </w:r>
      <w:r>
        <w:instrText xml:space="preserve"> HYPERLINK \l "_Toc15010" </w:instrText>
      </w:r>
      <w:r>
        <w:fldChar w:fldCharType="separate"/>
      </w:r>
      <w:r>
        <w:t>7.5其他保障</w:t>
      </w:r>
      <w:r>
        <w:tab/>
      </w:r>
      <w:r>
        <w:fldChar w:fldCharType="begin"/>
      </w:r>
      <w:r>
        <w:instrText xml:space="preserve"> PAGEREF _Toc15010 \h </w:instrText>
      </w:r>
      <w:r>
        <w:fldChar w:fldCharType="separate"/>
      </w:r>
      <w:r>
        <w:t>46</w:t>
      </w:r>
      <w:r>
        <w:fldChar w:fldCharType="end"/>
      </w:r>
      <w:r>
        <w:fldChar w:fldCharType="end"/>
      </w:r>
    </w:p>
    <w:p>
      <w:pPr>
        <w:pStyle w:val="8"/>
        <w:tabs>
          <w:tab w:val="right" w:leader="dot" w:pos="8901"/>
        </w:tabs>
      </w:pPr>
      <w:r>
        <w:fldChar w:fldCharType="begin"/>
      </w:r>
      <w:r>
        <w:instrText xml:space="preserve"> HYPERLINK \l "_Toc26335" </w:instrText>
      </w:r>
      <w:r>
        <w:fldChar w:fldCharType="separate"/>
      </w:r>
      <w:r>
        <w:rPr>
          <w:rFonts w:cs="Times New Roman"/>
        </w:rPr>
        <w:t>8调查与评估</w:t>
      </w:r>
      <w:r>
        <w:tab/>
      </w:r>
      <w:r>
        <w:fldChar w:fldCharType="begin"/>
      </w:r>
      <w:r>
        <w:instrText xml:space="preserve"> PAGEREF _Toc26335 \h </w:instrText>
      </w:r>
      <w:r>
        <w:fldChar w:fldCharType="separate"/>
      </w:r>
      <w:r>
        <w:t>48</w:t>
      </w:r>
      <w:r>
        <w:fldChar w:fldCharType="end"/>
      </w:r>
      <w:r>
        <w:fldChar w:fldCharType="end"/>
      </w:r>
    </w:p>
    <w:p>
      <w:pPr>
        <w:pStyle w:val="8"/>
        <w:tabs>
          <w:tab w:val="right" w:leader="dot" w:pos="8901"/>
        </w:tabs>
      </w:pPr>
      <w:r>
        <w:fldChar w:fldCharType="begin"/>
      </w:r>
      <w:r>
        <w:instrText xml:space="preserve"> HYPERLINK \l "_Toc27147" </w:instrText>
      </w:r>
      <w:r>
        <w:fldChar w:fldCharType="separate"/>
      </w:r>
      <w:r>
        <w:rPr>
          <w:rFonts w:cs="Times New Roman"/>
        </w:rPr>
        <w:t>9培训与演练</w:t>
      </w:r>
      <w:r>
        <w:tab/>
      </w:r>
      <w:r>
        <w:fldChar w:fldCharType="begin"/>
      </w:r>
      <w:r>
        <w:instrText xml:space="preserve"> PAGEREF _Toc27147 \h </w:instrText>
      </w:r>
      <w:r>
        <w:fldChar w:fldCharType="separate"/>
      </w:r>
      <w:r>
        <w:t>49</w:t>
      </w:r>
      <w:r>
        <w:fldChar w:fldCharType="end"/>
      </w:r>
      <w:r>
        <w:fldChar w:fldCharType="end"/>
      </w:r>
    </w:p>
    <w:p>
      <w:pPr>
        <w:pStyle w:val="9"/>
        <w:tabs>
          <w:tab w:val="right" w:leader="dot" w:pos="8901"/>
        </w:tabs>
        <w:ind w:left="480"/>
      </w:pPr>
      <w:r>
        <w:fldChar w:fldCharType="begin"/>
      </w:r>
      <w:r>
        <w:instrText xml:space="preserve"> HYPERLINK \l "_Toc25421" </w:instrText>
      </w:r>
      <w:r>
        <w:fldChar w:fldCharType="separate"/>
      </w:r>
      <w:r>
        <w:t>9.1培训</w:t>
      </w:r>
      <w:r>
        <w:tab/>
      </w:r>
      <w:r>
        <w:fldChar w:fldCharType="begin"/>
      </w:r>
      <w:r>
        <w:instrText xml:space="preserve"> PAGEREF _Toc25421 \h </w:instrText>
      </w:r>
      <w:r>
        <w:fldChar w:fldCharType="separate"/>
      </w:r>
      <w:r>
        <w:t>49</w:t>
      </w:r>
      <w:r>
        <w:fldChar w:fldCharType="end"/>
      </w:r>
      <w:r>
        <w:fldChar w:fldCharType="end"/>
      </w:r>
    </w:p>
    <w:p>
      <w:pPr>
        <w:pStyle w:val="9"/>
        <w:tabs>
          <w:tab w:val="right" w:leader="dot" w:pos="8901"/>
        </w:tabs>
        <w:ind w:left="480"/>
      </w:pPr>
      <w:r>
        <w:fldChar w:fldCharType="begin"/>
      </w:r>
      <w:r>
        <w:instrText xml:space="preserve"> HYPERLINK \l "_Toc24552" </w:instrText>
      </w:r>
      <w:r>
        <w:fldChar w:fldCharType="separate"/>
      </w:r>
      <w:r>
        <w:t>9.2演练</w:t>
      </w:r>
      <w:r>
        <w:tab/>
      </w:r>
      <w:r>
        <w:fldChar w:fldCharType="begin"/>
      </w:r>
      <w:r>
        <w:instrText xml:space="preserve"> PAGEREF _Toc24552 \h </w:instrText>
      </w:r>
      <w:r>
        <w:fldChar w:fldCharType="separate"/>
      </w:r>
      <w:r>
        <w:t>49</w:t>
      </w:r>
      <w:r>
        <w:fldChar w:fldCharType="end"/>
      </w:r>
      <w:r>
        <w:fldChar w:fldCharType="end"/>
      </w:r>
    </w:p>
    <w:p>
      <w:pPr>
        <w:pStyle w:val="8"/>
        <w:tabs>
          <w:tab w:val="right" w:leader="dot" w:pos="8901"/>
        </w:tabs>
      </w:pPr>
      <w:r>
        <w:fldChar w:fldCharType="begin"/>
      </w:r>
      <w:r>
        <w:instrText xml:space="preserve"> HYPERLINK \l "_Toc7905" </w:instrText>
      </w:r>
      <w:r>
        <w:fldChar w:fldCharType="separate"/>
      </w:r>
      <w:r>
        <w:rPr>
          <w:rFonts w:cs="Times New Roman"/>
        </w:rPr>
        <w:t>10制订与解释部门</w:t>
      </w:r>
      <w:r>
        <w:tab/>
      </w:r>
      <w:r>
        <w:fldChar w:fldCharType="begin"/>
      </w:r>
      <w:r>
        <w:instrText xml:space="preserve"> PAGEREF _Toc7905 \h </w:instrText>
      </w:r>
      <w:r>
        <w:fldChar w:fldCharType="separate"/>
      </w:r>
      <w:r>
        <w:t>50</w:t>
      </w:r>
      <w:r>
        <w:fldChar w:fldCharType="end"/>
      </w:r>
      <w:r>
        <w:fldChar w:fldCharType="end"/>
      </w:r>
    </w:p>
    <w:p>
      <w:pPr>
        <w:pStyle w:val="8"/>
        <w:tabs>
          <w:tab w:val="right" w:leader="dot" w:pos="8901"/>
        </w:tabs>
      </w:pPr>
      <w:r>
        <w:fldChar w:fldCharType="begin"/>
      </w:r>
      <w:r>
        <w:instrText xml:space="preserve"> HYPERLINK \l "_Toc14797" </w:instrText>
      </w:r>
      <w:r>
        <w:fldChar w:fldCharType="separate"/>
      </w:r>
      <w:r>
        <w:rPr>
          <w:rFonts w:cs="Times New Roman"/>
        </w:rPr>
        <w:t>11预案实施时间</w:t>
      </w:r>
      <w:r>
        <w:tab/>
      </w:r>
      <w:r>
        <w:fldChar w:fldCharType="begin"/>
      </w:r>
      <w:r>
        <w:instrText xml:space="preserve"> PAGEREF _Toc14797 \h </w:instrText>
      </w:r>
      <w:r>
        <w:fldChar w:fldCharType="separate"/>
      </w:r>
      <w:r>
        <w:t>51</w:t>
      </w:r>
      <w:r>
        <w:fldChar w:fldCharType="end"/>
      </w:r>
      <w:r>
        <w:fldChar w:fldCharType="end"/>
      </w:r>
    </w:p>
    <w:p>
      <w:pPr>
        <w:pStyle w:val="8"/>
        <w:tabs>
          <w:tab w:val="right" w:leader="dot" w:pos="8901"/>
        </w:tabs>
      </w:pPr>
      <w:r>
        <w:fldChar w:fldCharType="begin"/>
      </w:r>
      <w:r>
        <w:instrText xml:space="preserve"> HYPERLINK \l "_Toc16111" </w:instrText>
      </w:r>
      <w:r>
        <w:fldChar w:fldCharType="separate"/>
      </w:r>
      <w:r>
        <w:rPr>
          <w:rFonts w:cs="Times New Roman"/>
        </w:rPr>
        <w:t>12附件</w:t>
      </w:r>
      <w:r>
        <w:tab/>
      </w:r>
      <w:r>
        <w:fldChar w:fldCharType="begin"/>
      </w:r>
      <w:r>
        <w:instrText xml:space="preserve"> PAGEREF _Toc16111 \h </w:instrText>
      </w:r>
      <w:r>
        <w:fldChar w:fldCharType="separate"/>
      </w:r>
      <w:r>
        <w:t>52</w:t>
      </w:r>
      <w:r>
        <w:fldChar w:fldCharType="end"/>
      </w:r>
      <w:r>
        <w:fldChar w:fldCharType="end"/>
      </w:r>
    </w:p>
    <w:p>
      <w:pPr>
        <w:pStyle w:val="9"/>
        <w:tabs>
          <w:tab w:val="right" w:leader="dot" w:pos="8901"/>
        </w:tabs>
        <w:ind w:left="480"/>
      </w:pPr>
      <w:r>
        <w:fldChar w:fldCharType="begin"/>
      </w:r>
      <w:r>
        <w:instrText xml:space="preserve"> HYPERLINK \l "_Toc21895" </w:instrText>
      </w:r>
      <w:r>
        <w:fldChar w:fldCharType="separate"/>
      </w:r>
      <w:r>
        <w:t>附件1  工农水库工程特性表</w:t>
      </w:r>
      <w:r>
        <w:tab/>
      </w:r>
      <w:r>
        <w:fldChar w:fldCharType="begin"/>
      </w:r>
      <w:r>
        <w:instrText xml:space="preserve"> PAGEREF _Toc21895 \h </w:instrText>
      </w:r>
      <w:r>
        <w:fldChar w:fldCharType="separate"/>
      </w:r>
      <w:r>
        <w:t>52</w:t>
      </w:r>
      <w:r>
        <w:fldChar w:fldCharType="end"/>
      </w:r>
      <w:r>
        <w:fldChar w:fldCharType="end"/>
      </w:r>
    </w:p>
    <w:p>
      <w:pPr>
        <w:pStyle w:val="9"/>
        <w:tabs>
          <w:tab w:val="right" w:leader="dot" w:pos="8901"/>
        </w:tabs>
        <w:ind w:left="480"/>
      </w:pPr>
      <w:r>
        <w:fldChar w:fldCharType="begin"/>
      </w:r>
      <w:r>
        <w:instrText xml:space="preserve"> HYPERLINK \l "_Toc26808" </w:instrText>
      </w:r>
      <w:r>
        <w:fldChar w:fldCharType="separate"/>
      </w:r>
      <w:r>
        <w:t>附件2  工农水库</w:t>
      </w:r>
      <w:r>
        <w:rPr>
          <w:rFonts w:hint="eastAsia"/>
        </w:rPr>
        <w:t>大坝</w:t>
      </w:r>
      <w:r>
        <w:t>枢纽平面布置图</w:t>
      </w:r>
      <w:r>
        <w:tab/>
      </w:r>
      <w:r>
        <w:fldChar w:fldCharType="begin"/>
      </w:r>
      <w:r>
        <w:instrText xml:space="preserve"> PAGEREF _Toc26808 \h </w:instrText>
      </w:r>
      <w:r>
        <w:fldChar w:fldCharType="separate"/>
      </w:r>
      <w:r>
        <w:t>54</w:t>
      </w:r>
      <w:r>
        <w:fldChar w:fldCharType="end"/>
      </w:r>
      <w:r>
        <w:fldChar w:fldCharType="end"/>
      </w:r>
    </w:p>
    <w:p>
      <w:pPr>
        <w:pStyle w:val="9"/>
        <w:tabs>
          <w:tab w:val="right" w:leader="dot" w:pos="8901"/>
        </w:tabs>
        <w:ind w:left="480"/>
      </w:pPr>
      <w:r>
        <w:fldChar w:fldCharType="begin"/>
      </w:r>
      <w:r>
        <w:instrText xml:space="preserve"> HYPERLINK \l "_Toc3949" </w:instrText>
      </w:r>
      <w:r>
        <w:fldChar w:fldCharType="separate"/>
      </w:r>
      <w:r>
        <w:rPr>
          <w:szCs w:val="28"/>
        </w:rPr>
        <w:t>附件3  工农水库</w:t>
      </w:r>
      <w:r>
        <w:rPr>
          <w:rFonts w:hint="eastAsia"/>
          <w:szCs w:val="28"/>
        </w:rPr>
        <w:t>大坝上游立视</w:t>
      </w:r>
      <w:r>
        <w:rPr>
          <w:szCs w:val="28"/>
        </w:rPr>
        <w:t>图</w:t>
      </w:r>
      <w:r>
        <w:tab/>
      </w:r>
      <w:r>
        <w:fldChar w:fldCharType="begin"/>
      </w:r>
      <w:r>
        <w:instrText xml:space="preserve"> PAGEREF _Toc3949 \h </w:instrText>
      </w:r>
      <w:r>
        <w:fldChar w:fldCharType="separate"/>
      </w:r>
      <w:r>
        <w:t>55</w:t>
      </w:r>
      <w:r>
        <w:fldChar w:fldCharType="end"/>
      </w:r>
      <w:r>
        <w:fldChar w:fldCharType="end"/>
      </w:r>
    </w:p>
    <w:p>
      <w:pPr>
        <w:pStyle w:val="9"/>
        <w:tabs>
          <w:tab w:val="right" w:leader="dot" w:pos="8901"/>
        </w:tabs>
        <w:ind w:left="480"/>
      </w:pPr>
      <w:r>
        <w:fldChar w:fldCharType="begin"/>
      </w:r>
      <w:r>
        <w:instrText xml:space="preserve"> HYPERLINK \l "_Toc2786" </w:instrText>
      </w:r>
      <w:r>
        <w:fldChar w:fldCharType="separate"/>
      </w:r>
      <w:r>
        <w:rPr>
          <w:szCs w:val="28"/>
        </w:rPr>
        <w:t>附件4  工农水库</w:t>
      </w:r>
      <w:r>
        <w:rPr>
          <w:rFonts w:hint="eastAsia"/>
          <w:szCs w:val="28"/>
        </w:rPr>
        <w:t>溢流坝段断面</w:t>
      </w:r>
      <w:r>
        <w:rPr>
          <w:szCs w:val="28"/>
        </w:rPr>
        <w:t>图</w:t>
      </w:r>
      <w:r>
        <w:tab/>
      </w:r>
      <w:r>
        <w:fldChar w:fldCharType="begin"/>
      </w:r>
      <w:r>
        <w:instrText xml:space="preserve"> PAGEREF _Toc2786 \h </w:instrText>
      </w:r>
      <w:r>
        <w:fldChar w:fldCharType="separate"/>
      </w:r>
      <w:r>
        <w:t>56</w:t>
      </w:r>
      <w:r>
        <w:fldChar w:fldCharType="end"/>
      </w:r>
      <w:r>
        <w:fldChar w:fldCharType="end"/>
      </w:r>
    </w:p>
    <w:p>
      <w:pPr>
        <w:pStyle w:val="9"/>
        <w:tabs>
          <w:tab w:val="right" w:leader="dot" w:pos="8901"/>
        </w:tabs>
        <w:ind w:left="480"/>
      </w:pPr>
      <w:r>
        <w:fldChar w:fldCharType="begin"/>
      </w:r>
      <w:r>
        <w:instrText xml:space="preserve"> HYPERLINK \l "_Toc22648" </w:instrText>
      </w:r>
      <w:r>
        <w:fldChar w:fldCharType="separate"/>
      </w:r>
      <w:r>
        <w:rPr>
          <w:szCs w:val="28"/>
        </w:rPr>
        <w:t>附件5  工农水库水位～库容曲线</w:t>
      </w:r>
      <w:r>
        <w:tab/>
      </w:r>
      <w:r>
        <w:fldChar w:fldCharType="begin"/>
      </w:r>
      <w:r>
        <w:instrText xml:space="preserve"> PAGEREF _Toc22648 \h </w:instrText>
      </w:r>
      <w:r>
        <w:fldChar w:fldCharType="separate"/>
      </w:r>
      <w:r>
        <w:t>57</w:t>
      </w:r>
      <w:r>
        <w:fldChar w:fldCharType="end"/>
      </w:r>
      <w:r>
        <w:fldChar w:fldCharType="end"/>
      </w:r>
    </w:p>
    <w:p>
      <w:pPr>
        <w:pStyle w:val="9"/>
        <w:tabs>
          <w:tab w:val="right" w:leader="dot" w:pos="8901"/>
        </w:tabs>
        <w:ind w:left="480"/>
      </w:pPr>
      <w:r>
        <w:fldChar w:fldCharType="begin"/>
      </w:r>
      <w:r>
        <w:instrText xml:space="preserve"> HYPERLINK \l "_Toc17352" </w:instrText>
      </w:r>
      <w:r>
        <w:fldChar w:fldCharType="separate"/>
      </w:r>
      <w:r>
        <w:t>附件6  工农水库泄流曲线</w:t>
      </w:r>
      <w:r>
        <w:tab/>
      </w:r>
      <w:r>
        <w:fldChar w:fldCharType="begin"/>
      </w:r>
      <w:r>
        <w:instrText xml:space="preserve"> PAGEREF _Toc17352 \h </w:instrText>
      </w:r>
      <w:r>
        <w:fldChar w:fldCharType="separate"/>
      </w:r>
      <w:r>
        <w:t>57</w:t>
      </w:r>
      <w:r>
        <w:fldChar w:fldCharType="end"/>
      </w:r>
      <w:r>
        <w:fldChar w:fldCharType="end"/>
      </w:r>
    </w:p>
    <w:p>
      <w:pPr>
        <w:pStyle w:val="9"/>
        <w:tabs>
          <w:tab w:val="right" w:leader="dot" w:pos="8901"/>
        </w:tabs>
        <w:ind w:left="480"/>
      </w:pPr>
      <w:r>
        <w:fldChar w:fldCharType="begin"/>
      </w:r>
      <w:r>
        <w:instrText xml:space="preserve"> HYPERLINK \l "_Toc2510" </w:instrText>
      </w:r>
      <w:r>
        <w:fldChar w:fldCharType="separate"/>
      </w:r>
      <w:r>
        <w:t>附件</w:t>
      </w:r>
      <w:r>
        <w:rPr>
          <w:rFonts w:hint="eastAsia"/>
        </w:rPr>
        <w:t>7</w:t>
      </w:r>
      <w:r>
        <w:t xml:space="preserve">  工农水库险情以及抢险情况报告表</w:t>
      </w:r>
      <w:r>
        <w:tab/>
      </w:r>
      <w:r>
        <w:fldChar w:fldCharType="begin"/>
      </w:r>
      <w:r>
        <w:instrText xml:space="preserve"> PAGEREF _Toc2510 \h </w:instrText>
      </w:r>
      <w:r>
        <w:fldChar w:fldCharType="separate"/>
      </w:r>
      <w:r>
        <w:t>58</w:t>
      </w:r>
      <w:r>
        <w:fldChar w:fldCharType="end"/>
      </w:r>
      <w:r>
        <w:fldChar w:fldCharType="end"/>
      </w:r>
    </w:p>
    <w:p>
      <w:pPr>
        <w:pStyle w:val="9"/>
        <w:tabs>
          <w:tab w:val="right" w:leader="dot" w:pos="8901"/>
        </w:tabs>
        <w:ind w:left="480"/>
      </w:pPr>
      <w:r>
        <w:fldChar w:fldCharType="begin"/>
      </w:r>
      <w:r>
        <w:instrText xml:space="preserve"> HYPERLINK \l "_Toc21321" </w:instrText>
      </w:r>
      <w:r>
        <w:fldChar w:fldCharType="separate"/>
      </w:r>
      <w:r>
        <w:t>附件</w:t>
      </w:r>
      <w:r>
        <w:rPr>
          <w:rFonts w:hint="eastAsia"/>
        </w:rPr>
        <w:t>8</w:t>
      </w:r>
      <w:r>
        <w:t xml:space="preserve">  工农水库地理位置及主要交通路线图</w:t>
      </w:r>
      <w:r>
        <w:tab/>
      </w:r>
      <w:r>
        <w:fldChar w:fldCharType="begin"/>
      </w:r>
      <w:r>
        <w:instrText xml:space="preserve"> PAGEREF _Toc21321 \h </w:instrText>
      </w:r>
      <w:r>
        <w:fldChar w:fldCharType="separate"/>
      </w:r>
      <w:r>
        <w:t>59</w:t>
      </w:r>
      <w:r>
        <w:fldChar w:fldCharType="end"/>
      </w:r>
      <w:r>
        <w:fldChar w:fldCharType="end"/>
      </w:r>
    </w:p>
    <w:p>
      <w:pPr>
        <w:pStyle w:val="9"/>
        <w:tabs>
          <w:tab w:val="right" w:leader="dot" w:pos="8901"/>
        </w:tabs>
        <w:ind w:left="480"/>
      </w:pPr>
      <w:r>
        <w:fldChar w:fldCharType="begin"/>
      </w:r>
      <w:r>
        <w:instrText xml:space="preserve"> HYPERLINK \l "_Toc18912" </w:instrText>
      </w:r>
      <w:r>
        <w:fldChar w:fldCharType="separate"/>
      </w:r>
      <w:r>
        <w:t>附件</w:t>
      </w:r>
      <w:r>
        <w:rPr>
          <w:rFonts w:hint="eastAsia"/>
        </w:rPr>
        <w:t>9</w:t>
      </w:r>
      <w:r>
        <w:t xml:space="preserve">  工农水库下游重要城镇、集中居民点、重要交通干线位置图</w:t>
      </w:r>
      <w:r>
        <w:tab/>
      </w:r>
      <w:r>
        <w:fldChar w:fldCharType="begin"/>
      </w:r>
      <w:r>
        <w:instrText xml:space="preserve"> PAGEREF _Toc18912 \h </w:instrText>
      </w:r>
      <w:r>
        <w:fldChar w:fldCharType="separate"/>
      </w:r>
      <w:r>
        <w:t>59</w:t>
      </w:r>
      <w:r>
        <w:fldChar w:fldCharType="end"/>
      </w:r>
      <w:r>
        <w:fldChar w:fldCharType="end"/>
      </w:r>
    </w:p>
    <w:p>
      <w:pPr>
        <w:pStyle w:val="9"/>
        <w:tabs>
          <w:tab w:val="right" w:leader="dot" w:pos="8901"/>
        </w:tabs>
        <w:ind w:left="480"/>
      </w:pPr>
      <w:r>
        <w:fldChar w:fldCharType="begin"/>
      </w:r>
      <w:r>
        <w:instrText xml:space="preserve"> HYPERLINK \l "_Toc15351" </w:instrText>
      </w:r>
      <w:r>
        <w:fldChar w:fldCharType="separate"/>
      </w:r>
      <w:r>
        <w:rPr>
          <w:szCs w:val="28"/>
        </w:rPr>
        <w:t>附件10  工农水库</w:t>
      </w:r>
      <w:r>
        <w:rPr>
          <w:rFonts w:hint="eastAsia"/>
          <w:szCs w:val="28"/>
        </w:rPr>
        <w:t>一般</w:t>
      </w:r>
      <w:r>
        <w:rPr>
          <w:szCs w:val="28"/>
        </w:rPr>
        <w:t>洪水淹没风险区及应急转移路线示意图</w:t>
      </w:r>
      <w:r>
        <w:tab/>
      </w:r>
      <w:r>
        <w:fldChar w:fldCharType="begin"/>
      </w:r>
      <w:r>
        <w:instrText xml:space="preserve"> PAGEREF _Toc15351 \h </w:instrText>
      </w:r>
      <w:r>
        <w:fldChar w:fldCharType="separate"/>
      </w:r>
      <w:r>
        <w:t>59</w:t>
      </w:r>
      <w:r>
        <w:fldChar w:fldCharType="end"/>
      </w:r>
      <w:r>
        <w:fldChar w:fldCharType="end"/>
      </w:r>
    </w:p>
    <w:p>
      <w:pPr>
        <w:pStyle w:val="9"/>
        <w:tabs>
          <w:tab w:val="right" w:leader="dot" w:pos="8901"/>
        </w:tabs>
        <w:ind w:left="480"/>
      </w:pPr>
      <w:r>
        <w:fldChar w:fldCharType="begin"/>
      </w:r>
      <w:r>
        <w:instrText xml:space="preserve"> HYPERLINK \l "_Toc14161" </w:instrText>
      </w:r>
      <w:r>
        <w:fldChar w:fldCharType="separate"/>
      </w:r>
      <w:r>
        <w:rPr>
          <w:szCs w:val="28"/>
        </w:rPr>
        <w:t>附件</w:t>
      </w:r>
      <w:r>
        <w:rPr>
          <w:rFonts w:hint="eastAsia"/>
          <w:szCs w:val="28"/>
        </w:rPr>
        <w:t>11</w:t>
      </w:r>
      <w:r>
        <w:rPr>
          <w:szCs w:val="28"/>
        </w:rPr>
        <w:t xml:space="preserve">  工农水库</w:t>
      </w:r>
      <w:r>
        <w:rPr>
          <w:rFonts w:hint="eastAsia"/>
          <w:szCs w:val="28"/>
        </w:rPr>
        <w:t>溃坝</w:t>
      </w:r>
      <w:r>
        <w:rPr>
          <w:szCs w:val="28"/>
        </w:rPr>
        <w:t>洪水淹没风险</w:t>
      </w:r>
      <w:r>
        <w:rPr>
          <w:rFonts w:hint="eastAsia"/>
          <w:szCs w:val="28"/>
        </w:rPr>
        <w:t>区</w:t>
      </w:r>
      <w:r>
        <w:rPr>
          <w:szCs w:val="28"/>
        </w:rPr>
        <w:t>及应急转移路线示意图</w:t>
      </w:r>
      <w:r>
        <w:tab/>
      </w:r>
      <w:r>
        <w:fldChar w:fldCharType="begin"/>
      </w:r>
      <w:r>
        <w:instrText xml:space="preserve"> PAGEREF _Toc14161 \h </w:instrText>
      </w:r>
      <w:r>
        <w:fldChar w:fldCharType="separate"/>
      </w:r>
      <w:r>
        <w:t>59</w:t>
      </w:r>
      <w:r>
        <w:fldChar w:fldCharType="end"/>
      </w:r>
      <w:r>
        <w:fldChar w:fldCharType="end"/>
      </w:r>
    </w:p>
    <w:p>
      <w:pPr>
        <w:pStyle w:val="9"/>
        <w:tabs>
          <w:tab w:val="right" w:leader="dot" w:pos="8901"/>
        </w:tabs>
        <w:ind w:left="480"/>
      </w:pPr>
      <w:r>
        <w:fldChar w:fldCharType="begin"/>
      </w:r>
      <w:r>
        <w:instrText xml:space="preserve"> HYPERLINK \l "_Toc5845" </w:instrText>
      </w:r>
      <w:r>
        <w:fldChar w:fldCharType="separate"/>
      </w:r>
      <w:r>
        <w:t>附件1</w:t>
      </w:r>
      <w:r>
        <w:rPr>
          <w:rFonts w:hint="eastAsia"/>
        </w:rPr>
        <w:t>2</w:t>
      </w:r>
      <w:r>
        <w:t xml:space="preserve">  工农水库下游应急转移计划表</w:t>
      </w:r>
      <w:r>
        <w:tab/>
      </w:r>
      <w:r>
        <w:fldChar w:fldCharType="begin"/>
      </w:r>
      <w:r>
        <w:instrText xml:space="preserve"> PAGEREF _Toc5845 \h </w:instrText>
      </w:r>
      <w:r>
        <w:fldChar w:fldCharType="separate"/>
      </w:r>
      <w:r>
        <w:t>60</w:t>
      </w:r>
      <w:r>
        <w:fldChar w:fldCharType="end"/>
      </w:r>
      <w:r>
        <w:fldChar w:fldCharType="end"/>
      </w:r>
    </w:p>
    <w:p>
      <w:pPr>
        <w:pStyle w:val="9"/>
        <w:tabs>
          <w:tab w:val="right" w:leader="dot" w:pos="8901"/>
        </w:tabs>
        <w:ind w:left="480"/>
      </w:pPr>
      <w:r>
        <w:fldChar w:fldCharType="begin"/>
      </w:r>
      <w:r>
        <w:instrText xml:space="preserve"> HYPERLINK \l "_Toc28736" </w:instrText>
      </w:r>
      <w:r>
        <w:fldChar w:fldCharType="separate"/>
      </w:r>
      <w:r>
        <w:rPr>
          <w:bCs/>
        </w:rPr>
        <w:t>附件1</w:t>
      </w:r>
      <w:r>
        <w:rPr>
          <w:rFonts w:hint="eastAsia"/>
          <w:bCs/>
        </w:rPr>
        <w:t>3</w:t>
      </w:r>
      <w:r>
        <w:rPr>
          <w:bCs/>
        </w:rPr>
        <w:t xml:space="preserve">  沙坪坝区防汛抗旱指挥部及下属办公室人员组成表</w:t>
      </w:r>
      <w:r>
        <w:tab/>
      </w:r>
      <w:r>
        <w:fldChar w:fldCharType="begin"/>
      </w:r>
      <w:r>
        <w:instrText xml:space="preserve"> PAGEREF _Toc28736 \h </w:instrText>
      </w:r>
      <w:r>
        <w:fldChar w:fldCharType="separate"/>
      </w:r>
      <w:r>
        <w:t>62</w:t>
      </w:r>
      <w:r>
        <w:fldChar w:fldCharType="end"/>
      </w:r>
      <w:r>
        <w:fldChar w:fldCharType="end"/>
      </w:r>
    </w:p>
    <w:p>
      <w:pPr>
        <w:pStyle w:val="9"/>
        <w:tabs>
          <w:tab w:val="right" w:leader="dot" w:pos="8901"/>
        </w:tabs>
        <w:ind w:left="480"/>
      </w:pPr>
      <w:r>
        <w:fldChar w:fldCharType="begin"/>
      </w:r>
      <w:r>
        <w:instrText xml:space="preserve"> HYPERLINK \l "_Toc30222" </w:instrText>
      </w:r>
      <w:r>
        <w:fldChar w:fldCharType="separate"/>
      </w:r>
      <w:r>
        <w:t>附件1</w:t>
      </w:r>
      <w:r>
        <w:rPr>
          <w:rFonts w:hint="eastAsia"/>
        </w:rPr>
        <w:t>4</w:t>
      </w:r>
      <w:r>
        <w:t xml:space="preserve">  青木关镇防汛抗旱指挥部人员组成表</w:t>
      </w:r>
      <w:r>
        <w:tab/>
      </w:r>
      <w:r>
        <w:fldChar w:fldCharType="begin"/>
      </w:r>
      <w:r>
        <w:instrText xml:space="preserve"> PAGEREF _Toc30222 \h </w:instrText>
      </w:r>
      <w:r>
        <w:fldChar w:fldCharType="separate"/>
      </w:r>
      <w:r>
        <w:t>63</w:t>
      </w:r>
      <w:r>
        <w:fldChar w:fldCharType="end"/>
      </w:r>
      <w:r>
        <w:fldChar w:fldCharType="end"/>
      </w:r>
    </w:p>
    <w:p>
      <w:pPr>
        <w:pStyle w:val="9"/>
        <w:tabs>
          <w:tab w:val="right" w:leader="dot" w:pos="8901"/>
        </w:tabs>
        <w:ind w:left="480"/>
      </w:pPr>
      <w:r>
        <w:fldChar w:fldCharType="begin"/>
      </w:r>
      <w:r>
        <w:instrText xml:space="preserve"> HYPERLINK \l "_Toc166" </w:instrText>
      </w:r>
      <w:r>
        <w:fldChar w:fldCharType="separate"/>
      </w:r>
      <w:r>
        <w:t>附件1</w:t>
      </w:r>
      <w:r>
        <w:rPr>
          <w:rFonts w:hint="eastAsia"/>
        </w:rPr>
        <w:t>5</w:t>
      </w:r>
      <w:r>
        <w:t xml:space="preserve">  </w:t>
      </w:r>
      <w:r>
        <w:rPr>
          <w:rFonts w:hint="eastAsia"/>
        </w:rPr>
        <w:t>凤凰</w:t>
      </w:r>
      <w:r>
        <w:t>镇防汛抗旱指挥部人员组成表</w:t>
      </w:r>
      <w:r>
        <w:tab/>
      </w:r>
      <w:r>
        <w:fldChar w:fldCharType="begin"/>
      </w:r>
      <w:r>
        <w:instrText xml:space="preserve"> PAGEREF _Toc166 \h </w:instrText>
      </w:r>
      <w:r>
        <w:fldChar w:fldCharType="separate"/>
      </w:r>
      <w:r>
        <w:t>64</w:t>
      </w:r>
      <w:r>
        <w:fldChar w:fldCharType="end"/>
      </w:r>
      <w:r>
        <w:fldChar w:fldCharType="end"/>
      </w:r>
    </w:p>
    <w:p>
      <w:pPr>
        <w:pStyle w:val="9"/>
        <w:tabs>
          <w:tab w:val="right" w:leader="dot" w:pos="8901"/>
        </w:tabs>
        <w:ind w:left="480"/>
      </w:pPr>
      <w:r>
        <w:fldChar w:fldCharType="begin"/>
      </w:r>
      <w:r>
        <w:instrText xml:space="preserve"> HYPERLINK \l "_Toc22084" </w:instrText>
      </w:r>
      <w:r>
        <w:fldChar w:fldCharType="separate"/>
      </w:r>
      <w:r>
        <w:t>附件1</w:t>
      </w:r>
      <w:r>
        <w:rPr>
          <w:rFonts w:hint="eastAsia"/>
        </w:rPr>
        <w:t>6</w:t>
      </w:r>
      <w:r>
        <w:t xml:space="preserve">  工农水库防洪抢险各村联系人</w:t>
      </w:r>
      <w:r>
        <w:rPr>
          <w:rFonts w:hint="eastAsia"/>
        </w:rPr>
        <w:t>员</w:t>
      </w:r>
      <w:r>
        <w:t>组成表</w:t>
      </w:r>
      <w:r>
        <w:tab/>
      </w:r>
      <w:r>
        <w:fldChar w:fldCharType="begin"/>
      </w:r>
      <w:r>
        <w:instrText xml:space="preserve"> PAGEREF _Toc22084 \h </w:instrText>
      </w:r>
      <w:r>
        <w:fldChar w:fldCharType="separate"/>
      </w:r>
      <w:r>
        <w:t>65</w:t>
      </w:r>
      <w:r>
        <w:fldChar w:fldCharType="end"/>
      </w:r>
      <w:r>
        <w:fldChar w:fldCharType="end"/>
      </w:r>
    </w:p>
    <w:p>
      <w:pPr>
        <w:pStyle w:val="9"/>
        <w:tabs>
          <w:tab w:val="right" w:leader="dot" w:pos="8901"/>
        </w:tabs>
        <w:ind w:left="480"/>
      </w:pPr>
      <w:r>
        <w:fldChar w:fldCharType="begin"/>
      </w:r>
      <w:r>
        <w:instrText xml:space="preserve"> HYPERLINK \l "_Toc22763" </w:instrText>
      </w:r>
      <w:r>
        <w:fldChar w:fldCharType="separate"/>
      </w:r>
      <w:r>
        <w:t>附件1</w:t>
      </w:r>
      <w:r>
        <w:rPr>
          <w:rFonts w:hint="eastAsia"/>
        </w:rPr>
        <w:t>7</w:t>
      </w:r>
      <w:r>
        <w:t xml:space="preserve">  工农水库抢险救援专家组人员名单表</w:t>
      </w:r>
      <w:r>
        <w:tab/>
      </w:r>
      <w:r>
        <w:fldChar w:fldCharType="begin"/>
      </w:r>
      <w:r>
        <w:instrText xml:space="preserve"> PAGEREF _Toc22763 \h </w:instrText>
      </w:r>
      <w:r>
        <w:fldChar w:fldCharType="separate"/>
      </w:r>
      <w:r>
        <w:t>66</w:t>
      </w:r>
      <w:r>
        <w:fldChar w:fldCharType="end"/>
      </w:r>
      <w:r>
        <w:fldChar w:fldCharType="end"/>
      </w:r>
    </w:p>
    <w:p>
      <w:pPr>
        <w:pStyle w:val="9"/>
        <w:tabs>
          <w:tab w:val="right" w:leader="dot" w:pos="8901"/>
        </w:tabs>
        <w:ind w:left="480"/>
      </w:pPr>
      <w:r>
        <w:fldChar w:fldCharType="begin"/>
      </w:r>
      <w:r>
        <w:instrText xml:space="preserve"> HYPERLINK \l "_Toc23394" </w:instrText>
      </w:r>
      <w:r>
        <w:fldChar w:fldCharType="separate"/>
      </w:r>
      <w:r>
        <w:t>附件1</w:t>
      </w:r>
      <w:r>
        <w:rPr>
          <w:rFonts w:hint="eastAsia"/>
        </w:rPr>
        <w:t>8</w:t>
      </w:r>
      <w:r>
        <w:t xml:space="preserve">  工农水库应急保障物资储备表</w:t>
      </w:r>
      <w:r>
        <w:tab/>
      </w:r>
      <w:r>
        <w:fldChar w:fldCharType="begin"/>
      </w:r>
      <w:r>
        <w:instrText xml:space="preserve"> PAGEREF _Toc23394 \h </w:instrText>
      </w:r>
      <w:r>
        <w:fldChar w:fldCharType="separate"/>
      </w:r>
      <w:r>
        <w:t>67</w:t>
      </w:r>
      <w:r>
        <w:fldChar w:fldCharType="end"/>
      </w:r>
      <w:r>
        <w:fldChar w:fldCharType="end"/>
      </w:r>
    </w:p>
    <w:p>
      <w:pPr>
        <w:pStyle w:val="9"/>
        <w:tabs>
          <w:tab w:val="right" w:leader="dot" w:pos="8901"/>
        </w:tabs>
        <w:ind w:left="480"/>
      </w:pPr>
      <w:r>
        <w:fldChar w:fldCharType="begin"/>
      </w:r>
      <w:r>
        <w:instrText xml:space="preserve"> HYPERLINK \l "_Toc13794" </w:instrText>
      </w:r>
      <w:r>
        <w:fldChar w:fldCharType="separate"/>
      </w:r>
      <w:r>
        <w:rPr>
          <w:bCs/>
          <w:szCs w:val="32"/>
        </w:rPr>
        <w:t>附件1</w:t>
      </w:r>
      <w:r>
        <w:rPr>
          <w:rFonts w:hint="eastAsia"/>
          <w:bCs/>
          <w:szCs w:val="32"/>
        </w:rPr>
        <w:t>9</w:t>
      </w:r>
      <w:r>
        <w:rPr>
          <w:bCs/>
          <w:szCs w:val="32"/>
        </w:rPr>
        <w:t xml:space="preserve">  </w:t>
      </w:r>
      <w:r>
        <w:t>工农水库</w:t>
      </w:r>
      <w:r>
        <w:rPr>
          <w:rFonts w:hint="eastAsia"/>
        </w:rPr>
        <w:t>突发事件</w:t>
      </w:r>
      <w:r>
        <w:rPr>
          <w:bCs/>
          <w:szCs w:val="32"/>
        </w:rPr>
        <w:t>应急处置流程图</w:t>
      </w:r>
      <w:r>
        <w:tab/>
      </w:r>
      <w:r>
        <w:fldChar w:fldCharType="begin"/>
      </w:r>
      <w:r>
        <w:instrText xml:space="preserve"> PAGEREF _Toc13794 \h </w:instrText>
      </w:r>
      <w:r>
        <w:fldChar w:fldCharType="separate"/>
      </w:r>
      <w:r>
        <w:t>68</w:t>
      </w:r>
      <w:r>
        <w:fldChar w:fldCharType="end"/>
      </w:r>
      <w:r>
        <w:fldChar w:fldCharType="end"/>
      </w:r>
    </w:p>
    <w:p>
      <w:pPr>
        <w:ind w:firstLine="480"/>
        <w:sectPr>
          <w:headerReference r:id="rId7" w:type="first"/>
          <w:footerReference r:id="rId10" w:type="first"/>
          <w:headerReference r:id="rId5" w:type="default"/>
          <w:footerReference r:id="rId8" w:type="default"/>
          <w:headerReference r:id="rId6" w:type="even"/>
          <w:footerReference r:id="rId9" w:type="even"/>
          <w:pgSz w:w="11905" w:h="16838"/>
          <w:pgMar w:top="1417" w:right="1502" w:bottom="1417" w:left="1502" w:header="850" w:footer="992" w:gutter="0"/>
          <w:pgNumType w:fmt="upperRoman" w:start="1"/>
          <w:cols w:space="0" w:num="1"/>
          <w:docGrid w:linePitch="312" w:charSpace="0"/>
        </w:sectPr>
      </w:pPr>
      <w:r>
        <w:fldChar w:fldCharType="end"/>
      </w:r>
      <w:bookmarkStart w:id="2" w:name="_Toc323302886"/>
    </w:p>
    <w:p>
      <w:pPr>
        <w:pStyle w:val="2"/>
        <w:spacing w:before="240" w:after="240"/>
      </w:pPr>
      <w:bookmarkStart w:id="3" w:name="_Toc25958"/>
      <w:r>
        <w:t>1</w:t>
      </w:r>
      <w:bookmarkEnd w:id="2"/>
      <w:r>
        <w:t>总则</w:t>
      </w:r>
      <w:bookmarkEnd w:id="3"/>
    </w:p>
    <w:p>
      <w:pPr>
        <w:pStyle w:val="3"/>
        <w:spacing w:before="120" w:after="120"/>
      </w:pPr>
      <w:bookmarkStart w:id="4" w:name="_Toc5612"/>
      <w:bookmarkStart w:id="5" w:name="_Toc323302887"/>
      <w:r>
        <w:t>1.1 编制目的</w:t>
      </w:r>
      <w:bookmarkEnd w:id="4"/>
      <w:bookmarkEnd w:id="5"/>
    </w:p>
    <w:p>
      <w:pPr>
        <w:ind w:firstLine="480"/>
      </w:pPr>
      <w:r>
        <w:t>编制《重庆市沙坪坝区工农水库防洪抢险应急预案》（以下简称《应急预案》），主要是为了提高工农水库面临突发事件（超标准水文气象灾害、超设防标准地震灾害、地质灾害等）时的应对能力，切实做好水库遭遇突发事件时的防汛抢险调度和险情抢护工作，力保工程安全，最大程度保障人民群众生命财产安全、减少损失。</w:t>
      </w:r>
    </w:p>
    <w:p>
      <w:pPr>
        <w:pStyle w:val="3"/>
        <w:spacing w:before="120" w:after="120"/>
      </w:pPr>
      <w:bookmarkStart w:id="6" w:name="_Toc31417"/>
      <w:bookmarkStart w:id="7" w:name="_Toc323302888"/>
      <w:r>
        <w:t>1.2编制依据</w:t>
      </w:r>
      <w:bookmarkEnd w:id="6"/>
      <w:bookmarkEnd w:id="7"/>
    </w:p>
    <w:p>
      <w:pPr>
        <w:pStyle w:val="4"/>
        <w:spacing w:before="120" w:after="120"/>
      </w:pPr>
      <w:r>
        <w:t>1.2.1法律法规与技术标准</w:t>
      </w:r>
    </w:p>
    <w:p>
      <w:pPr>
        <w:ind w:firstLine="480"/>
      </w:pPr>
      <w:r>
        <w:fldChar w:fldCharType="begin"/>
      </w:r>
      <w:r>
        <w:instrText xml:space="preserve">=1\*GB2</w:instrText>
      </w:r>
      <w:r>
        <w:fldChar w:fldCharType="separate"/>
      </w:r>
      <w:r>
        <w:t>（1）</w:t>
      </w:r>
      <w:r>
        <w:fldChar w:fldCharType="end"/>
      </w:r>
      <w:r>
        <w:t>《中华人民共和国突发事件应对法》（20</w:t>
      </w:r>
      <w:r>
        <w:rPr>
          <w:rFonts w:hint="eastAsia"/>
        </w:rPr>
        <w:t>07</w:t>
      </w:r>
      <w:r>
        <w:t>年</w:t>
      </w:r>
      <w:r>
        <w:rPr>
          <w:rFonts w:hint="eastAsia"/>
        </w:rPr>
        <w:t>11</w:t>
      </w:r>
      <w:r>
        <w:t>月</w:t>
      </w:r>
      <w:r>
        <w:rPr>
          <w:rFonts w:hint="eastAsia"/>
        </w:rPr>
        <w:t>施行</w:t>
      </w:r>
      <w:r>
        <w:t>）；</w:t>
      </w:r>
    </w:p>
    <w:p>
      <w:pPr>
        <w:ind w:firstLine="480"/>
      </w:pPr>
      <w:r>
        <w:fldChar w:fldCharType="begin"/>
      </w:r>
      <w:r>
        <w:instrText xml:space="preserve">=1\*GB2</w:instrText>
      </w:r>
      <w:r>
        <w:fldChar w:fldCharType="separate"/>
      </w:r>
      <w:r>
        <w:t>（</w:t>
      </w:r>
      <w:r>
        <w:rPr>
          <w:rFonts w:hint="eastAsia"/>
        </w:rPr>
        <w:t>2</w:t>
      </w:r>
      <w:r>
        <w:t>）</w:t>
      </w:r>
      <w:r>
        <w:fldChar w:fldCharType="end"/>
      </w:r>
      <w:r>
        <w:t>《中华人民共和国水法》（2016年7月修订）；</w:t>
      </w:r>
    </w:p>
    <w:p>
      <w:pPr>
        <w:ind w:firstLine="480"/>
      </w:pPr>
      <w:r>
        <w:fldChar w:fldCharType="begin"/>
      </w:r>
      <w:r>
        <w:instrText xml:space="preserve">=1\*GB2</w:instrText>
      </w:r>
      <w:r>
        <w:fldChar w:fldCharType="separate"/>
      </w:r>
      <w:r>
        <w:t>（</w:t>
      </w:r>
      <w:r>
        <w:rPr>
          <w:rFonts w:hint="eastAsia"/>
        </w:rPr>
        <w:t>3</w:t>
      </w:r>
      <w:r>
        <w:t>）</w:t>
      </w:r>
      <w:r>
        <w:fldChar w:fldCharType="end"/>
      </w:r>
      <w:r>
        <w:t>《中华人民共和国防洪法》（2016年7月修订）；</w:t>
      </w:r>
    </w:p>
    <w:p>
      <w:pPr>
        <w:ind w:firstLine="480"/>
      </w:pPr>
      <w:r>
        <w:fldChar w:fldCharType="begin"/>
      </w:r>
      <w:r>
        <w:instrText xml:space="preserve">=2\*GB2</w:instrText>
      </w:r>
      <w:r>
        <w:fldChar w:fldCharType="separate"/>
      </w:r>
      <w:r>
        <w:t>（</w:t>
      </w:r>
      <w:r>
        <w:rPr>
          <w:rFonts w:hint="eastAsia"/>
        </w:rPr>
        <w:t>4</w:t>
      </w:r>
      <w:r>
        <w:t>）</w:t>
      </w:r>
      <w:r>
        <w:fldChar w:fldCharType="end"/>
      </w:r>
      <w:r>
        <w:t>《中华人民共和国防汛条例》（2011年1月修订）；</w:t>
      </w:r>
    </w:p>
    <w:p>
      <w:pPr>
        <w:ind w:firstLine="480"/>
      </w:pPr>
      <w:r>
        <w:fldChar w:fldCharType="begin"/>
      </w:r>
      <w:r>
        <w:instrText xml:space="preserve">=3\*GB2</w:instrText>
      </w:r>
      <w:r>
        <w:fldChar w:fldCharType="separate"/>
      </w:r>
      <w:r>
        <w:t>（</w:t>
      </w:r>
      <w:r>
        <w:rPr>
          <w:rFonts w:hint="eastAsia"/>
        </w:rPr>
        <w:t>5</w:t>
      </w:r>
      <w:r>
        <w:t>）</w:t>
      </w:r>
      <w:r>
        <w:fldChar w:fldCharType="end"/>
      </w:r>
      <w:r>
        <w:t>《水库大坝安全管理条例》（2018年3月修订）；</w:t>
      </w:r>
    </w:p>
    <w:p>
      <w:pPr>
        <w:ind w:firstLine="480"/>
      </w:pPr>
      <w:r>
        <w:fldChar w:fldCharType="begin"/>
      </w:r>
      <w:r>
        <w:instrText xml:space="preserve">=1\*GB2</w:instrText>
      </w:r>
      <w:r>
        <w:fldChar w:fldCharType="separate"/>
      </w:r>
      <w:r>
        <w:t>（</w:t>
      </w:r>
      <w:r>
        <w:rPr>
          <w:rFonts w:hint="eastAsia"/>
        </w:rPr>
        <w:t>6</w:t>
      </w:r>
      <w:r>
        <w:t>）</w:t>
      </w:r>
      <w:r>
        <w:fldChar w:fldCharType="end"/>
      </w:r>
      <w:r>
        <w:t>《重庆市突发事件应对条例》（201</w:t>
      </w:r>
      <w:r>
        <w:rPr>
          <w:rFonts w:hint="eastAsia"/>
        </w:rPr>
        <w:t>2</w:t>
      </w:r>
      <w:r>
        <w:t>年</w:t>
      </w:r>
      <w:r>
        <w:rPr>
          <w:rFonts w:hint="eastAsia"/>
        </w:rPr>
        <w:t>7</w:t>
      </w:r>
      <w:r>
        <w:t>月</w:t>
      </w:r>
      <w:r>
        <w:rPr>
          <w:rFonts w:hint="eastAsia"/>
        </w:rPr>
        <w:t>施行</w:t>
      </w:r>
      <w:r>
        <w:t>）；</w:t>
      </w:r>
    </w:p>
    <w:p>
      <w:pPr>
        <w:ind w:firstLine="480"/>
      </w:pPr>
      <w:r>
        <w:fldChar w:fldCharType="begin"/>
      </w:r>
      <w:r>
        <w:instrText xml:space="preserve">=4\*GB2</w:instrText>
      </w:r>
      <w:r>
        <w:fldChar w:fldCharType="separate"/>
      </w:r>
      <w:r>
        <w:t>（</w:t>
      </w:r>
      <w:r>
        <w:rPr>
          <w:rFonts w:hint="eastAsia"/>
        </w:rPr>
        <w:t>7</w:t>
      </w:r>
      <w:r>
        <w:t>）</w:t>
      </w:r>
      <w:r>
        <w:fldChar w:fldCharType="end"/>
      </w:r>
      <w:r>
        <w:t>《重庆市防汛抗旱条例》（2018年7月修订）；</w:t>
      </w:r>
    </w:p>
    <w:p>
      <w:pPr>
        <w:ind w:firstLine="480"/>
      </w:pPr>
      <w:r>
        <w:t>（</w:t>
      </w:r>
      <w:r>
        <w:rPr>
          <w:rFonts w:hint="eastAsia"/>
        </w:rPr>
        <w:t>8</w:t>
      </w:r>
      <w:r>
        <w:t>）《重庆市水利工程管理条例》（2019年9月修订）。</w:t>
      </w:r>
    </w:p>
    <w:p>
      <w:pPr>
        <w:ind w:firstLine="480"/>
      </w:pPr>
      <w:r>
        <w:fldChar w:fldCharType="begin"/>
      </w:r>
      <w:r>
        <w:instrText xml:space="preserve">=5\*GB2</w:instrText>
      </w:r>
      <w:r>
        <w:fldChar w:fldCharType="separate"/>
      </w:r>
      <w:r>
        <w:t>（</w:t>
      </w:r>
      <w:r>
        <w:rPr>
          <w:rFonts w:hint="eastAsia"/>
        </w:rPr>
        <w:t>9</w:t>
      </w:r>
      <w:r>
        <w:t>）</w:t>
      </w:r>
      <w:r>
        <w:fldChar w:fldCharType="end"/>
      </w:r>
      <w:r>
        <w:t>《国家防汛抗旱应急预案》（2022年5月）；</w:t>
      </w:r>
    </w:p>
    <w:p>
      <w:pPr>
        <w:ind w:firstLine="480"/>
      </w:pPr>
      <w:r>
        <w:t>（</w:t>
      </w:r>
      <w:r>
        <w:rPr>
          <w:rFonts w:hint="eastAsia"/>
        </w:rPr>
        <w:t>10</w:t>
      </w:r>
      <w:r>
        <w:t>）《重庆市突发公共事件总体应急预案》（2007年</w:t>
      </w:r>
      <w:r>
        <w:rPr>
          <w:rFonts w:hint="eastAsia"/>
        </w:rPr>
        <w:t>7</w:t>
      </w:r>
      <w:r>
        <w:t>月）；</w:t>
      </w:r>
    </w:p>
    <w:p>
      <w:pPr>
        <w:ind w:firstLine="480"/>
      </w:pPr>
      <w:r>
        <w:t>（</w:t>
      </w:r>
      <w:r>
        <w:rPr>
          <w:rFonts w:hint="eastAsia"/>
        </w:rPr>
        <w:t>11</w:t>
      </w:r>
      <w:r>
        <w:t>）《重庆市自然灾害救助应急预案》（20</w:t>
      </w:r>
      <w:r>
        <w:rPr>
          <w:rFonts w:hint="eastAsia"/>
        </w:rPr>
        <w:t>22</w:t>
      </w:r>
      <w:r>
        <w:t>年</w:t>
      </w:r>
      <w:r>
        <w:rPr>
          <w:rFonts w:hint="eastAsia"/>
        </w:rPr>
        <w:t>1</w:t>
      </w:r>
      <w:r>
        <w:t>月）；</w:t>
      </w:r>
    </w:p>
    <w:p>
      <w:pPr>
        <w:ind w:firstLine="480"/>
      </w:pPr>
      <w:r>
        <w:t>（</w:t>
      </w:r>
      <w:r>
        <w:rPr>
          <w:rFonts w:hint="eastAsia"/>
        </w:rPr>
        <w:t>12</w:t>
      </w:r>
      <w:r>
        <w:t>）《重庆市防汛抗旱应急预案》</w:t>
      </w:r>
      <w:r>
        <w:rPr>
          <w:rFonts w:hint="eastAsia"/>
        </w:rPr>
        <w:t>（2022年6月）</w:t>
      </w:r>
      <w:r>
        <w:t>；</w:t>
      </w:r>
    </w:p>
    <w:p>
      <w:pPr>
        <w:ind w:firstLine="480"/>
      </w:pPr>
      <w:r>
        <w:t>（1</w:t>
      </w:r>
      <w:r>
        <w:rPr>
          <w:rFonts w:hint="eastAsia"/>
        </w:rPr>
        <w:t>3</w:t>
      </w:r>
      <w:r>
        <w:t>）《重庆市沙坪坝区防汛抗旱应急预案》（2020年</w:t>
      </w:r>
      <w:r>
        <w:rPr>
          <w:rFonts w:hint="eastAsia"/>
        </w:rPr>
        <w:t>12</w:t>
      </w:r>
      <w:r>
        <w:t>月）</w:t>
      </w:r>
      <w:r>
        <w:rPr>
          <w:rFonts w:hint="eastAsia"/>
        </w:rPr>
        <w:t>；</w:t>
      </w:r>
    </w:p>
    <w:p>
      <w:pPr>
        <w:ind w:firstLine="480"/>
      </w:pPr>
      <w:r>
        <w:fldChar w:fldCharType="begin"/>
      </w:r>
      <w:r>
        <w:instrText xml:space="preserve">=1\*GB2</w:instrText>
      </w:r>
      <w:r>
        <w:fldChar w:fldCharType="separate"/>
      </w:r>
      <w:r>
        <w:t>（1</w:t>
      </w:r>
      <w:r>
        <w:rPr>
          <w:rFonts w:hint="eastAsia"/>
        </w:rPr>
        <w:t>4</w:t>
      </w:r>
      <w:r>
        <w:t>）</w:t>
      </w:r>
      <w:r>
        <w:fldChar w:fldCharType="end"/>
      </w:r>
      <w:r>
        <w:t>《重庆市沙坪坝区自然灾害救助应急预案》</w:t>
      </w:r>
      <w:r>
        <w:rPr>
          <w:rFonts w:hint="eastAsia"/>
        </w:rPr>
        <w:t>（2022年7月）；</w:t>
      </w:r>
    </w:p>
    <w:p>
      <w:pPr>
        <w:ind w:firstLine="480"/>
      </w:pPr>
      <w:r>
        <w:fldChar w:fldCharType="begin"/>
      </w:r>
      <w:r>
        <w:instrText xml:space="preserve">=6\*GB2</w:instrText>
      </w:r>
      <w:r>
        <w:fldChar w:fldCharType="separate"/>
      </w:r>
      <w:r>
        <w:t>（</w:t>
      </w:r>
      <w:r>
        <w:rPr>
          <w:rFonts w:hint="eastAsia"/>
        </w:rPr>
        <w:t>15</w:t>
      </w:r>
      <w:r>
        <w:t>）</w:t>
      </w:r>
      <w:r>
        <w:fldChar w:fldCharType="end"/>
      </w:r>
      <w:r>
        <w:t>《水库防洪抢险应急预案编制大纲》（国家防汛抗旱总指挥部办公室，2006年3月）；</w:t>
      </w:r>
    </w:p>
    <w:p>
      <w:pPr>
        <w:ind w:firstLine="480"/>
      </w:pPr>
      <w:r>
        <w:t>（1</w:t>
      </w:r>
      <w:r>
        <w:rPr>
          <w:rFonts w:hint="eastAsia"/>
        </w:rPr>
        <w:t>6</w:t>
      </w:r>
      <w:r>
        <w:t>）《重庆市水库（水电站）防洪抢险应急预案编制大纲》（重庆市防汛抗旱指挥部办公室，2013年12月）</w:t>
      </w:r>
      <w:r>
        <w:rPr>
          <w:rFonts w:hint="eastAsia"/>
        </w:rPr>
        <w:t>。</w:t>
      </w:r>
    </w:p>
    <w:p>
      <w:pPr>
        <w:pStyle w:val="4"/>
        <w:keepNext w:val="0"/>
        <w:spacing w:before="120" w:after="120"/>
      </w:pPr>
      <w:r>
        <w:t>1.2.2相关设计资料</w:t>
      </w:r>
    </w:p>
    <w:p>
      <w:pPr>
        <w:ind w:firstLine="480"/>
      </w:pPr>
      <w:bookmarkStart w:id="8" w:name="_Toc323302889"/>
      <w:r>
        <w:t>（</w:t>
      </w:r>
      <w:r>
        <w:rPr>
          <w:rFonts w:hint="eastAsia"/>
        </w:rPr>
        <w:t>1</w:t>
      </w:r>
      <w:r>
        <w:t>）《重庆市沙坪坝区工农水库汛期调度运用计划报告》（重庆信博水利工程设计有限公司</w:t>
      </w:r>
      <w:r>
        <w:rPr>
          <w:rFonts w:hint="eastAsia"/>
        </w:rPr>
        <w:t>，</w:t>
      </w:r>
      <w:r>
        <w:t>2018年7月）；</w:t>
      </w:r>
    </w:p>
    <w:p>
      <w:pPr>
        <w:ind w:firstLine="480"/>
      </w:pPr>
      <w:r>
        <w:t>（</w:t>
      </w:r>
      <w:r>
        <w:rPr>
          <w:rFonts w:hint="eastAsia"/>
        </w:rPr>
        <w:t>2</w:t>
      </w:r>
      <w:r>
        <w:t>）《重庆市沙坪坝区工农水库防洪抢险应急预案报告》（重庆信博水利工程设计有限公司</w:t>
      </w:r>
      <w:r>
        <w:rPr>
          <w:rFonts w:hint="eastAsia"/>
        </w:rPr>
        <w:t>，</w:t>
      </w:r>
      <w:r>
        <w:t>2018年7月）；</w:t>
      </w:r>
    </w:p>
    <w:p>
      <w:pPr>
        <w:ind w:firstLine="480"/>
      </w:pPr>
      <w:r>
        <w:t>（</w:t>
      </w:r>
      <w:r>
        <w:rPr>
          <w:rFonts w:hint="eastAsia"/>
        </w:rPr>
        <w:t>3</w:t>
      </w:r>
      <w:r>
        <w:t>）《重庆市沙坪坝区工农水库大坝安全评价报告》（精佳建设工程集团有限公司，2020年7月）；</w:t>
      </w:r>
    </w:p>
    <w:p>
      <w:pPr>
        <w:ind w:firstLine="480"/>
      </w:pPr>
      <w:r>
        <w:t>（</w:t>
      </w:r>
      <w:r>
        <w:rPr>
          <w:rFonts w:hint="eastAsia"/>
        </w:rPr>
        <w:t>4</w:t>
      </w:r>
      <w:r>
        <w:t>）《重庆市沙坪坝区工农水库大坝安全管理应急预案》（精佳建设工程集团有限公司，2021年11月）。</w:t>
      </w:r>
    </w:p>
    <w:bookmarkEnd w:id="8"/>
    <w:p>
      <w:pPr>
        <w:pStyle w:val="3"/>
        <w:spacing w:before="120" w:after="120"/>
      </w:pPr>
      <w:bookmarkStart w:id="9" w:name="_Toc21544"/>
      <w:r>
        <w:t>1.3工作原则</w:t>
      </w:r>
      <w:bookmarkEnd w:id="9"/>
    </w:p>
    <w:p>
      <w:pPr>
        <w:ind w:firstLine="480"/>
      </w:pPr>
      <w:r>
        <w:t>《应急预案》的编制应以确保人民群众生命财产安全为首要目标，体现行政首长负责制，统一指挥、统一调度、分级分部门负责、全力抢险、力保水库工程安全的原则。坚持以防为主、防抢结合，坚持因地制宜、突出重点，坚持工程与非结工程措施相结合等原则，努力实现由控制洪水向管理洪水转变，不断提高防汛应急管理水平。</w:t>
      </w:r>
    </w:p>
    <w:p>
      <w:pPr>
        <w:ind w:firstLine="480"/>
      </w:pPr>
      <w:r>
        <w:fldChar w:fldCharType="begin"/>
      </w:r>
      <w:r>
        <w:instrText xml:space="preserve">=1\*GB2</w:instrText>
      </w:r>
      <w:r>
        <w:fldChar w:fldCharType="separate"/>
      </w:r>
      <w:r>
        <w:t>（1）</w:t>
      </w:r>
      <w:r>
        <w:fldChar w:fldCharType="end"/>
      </w:r>
      <w:r>
        <w:t>贯彻“以人为本”原则，体现风险管理理念，尽可能避免或减少损失，特别是生命损失，保障公共安全。</w:t>
      </w:r>
    </w:p>
    <w:p>
      <w:pPr>
        <w:ind w:firstLine="480"/>
      </w:pPr>
      <w:r>
        <w:fldChar w:fldCharType="begin"/>
      </w:r>
      <w:r>
        <w:instrText xml:space="preserve">=2\*GB2</w:instrText>
      </w:r>
      <w:r>
        <w:fldChar w:fldCharType="separate"/>
      </w:r>
      <w:r>
        <w:t>（2）</w:t>
      </w:r>
      <w:r>
        <w:fldChar w:fldCharType="end"/>
      </w:r>
      <w:r>
        <w:t>按照“分级负责”原则，实行分级管理，明确职责与责任追究制。</w:t>
      </w:r>
    </w:p>
    <w:p>
      <w:pPr>
        <w:ind w:firstLine="480"/>
      </w:pPr>
      <w:r>
        <w:fldChar w:fldCharType="begin"/>
      </w:r>
      <w:r>
        <w:instrText xml:space="preserve">=3\*GB2</w:instrText>
      </w:r>
      <w:r>
        <w:fldChar w:fldCharType="separate"/>
      </w:r>
      <w:r>
        <w:t>（3）</w:t>
      </w:r>
      <w:r>
        <w:fldChar w:fldCharType="end"/>
      </w:r>
      <w:r>
        <w:t>强调“预防为主”原则，通过对水库大坝可能突发事件的深入分析，事先制定减少和应对突发公共事件发生的对策。</w:t>
      </w:r>
    </w:p>
    <w:p>
      <w:pPr>
        <w:ind w:firstLine="480"/>
      </w:pPr>
      <w:r>
        <w:fldChar w:fldCharType="begin"/>
      </w:r>
      <w:r>
        <w:instrText xml:space="preserve">=4\*GB2</w:instrText>
      </w:r>
      <w:r>
        <w:fldChar w:fldCharType="separate"/>
      </w:r>
      <w:r>
        <w:t>（4）</w:t>
      </w:r>
      <w:r>
        <w:fldChar w:fldCharType="end"/>
      </w:r>
      <w:r>
        <w:t>突出“可操作性”原则，预案以文字和图表形式，形成书面文件。</w:t>
      </w:r>
    </w:p>
    <w:p>
      <w:pPr>
        <w:ind w:firstLine="480"/>
      </w:pPr>
      <w:r>
        <w:fldChar w:fldCharType="begin"/>
      </w:r>
      <w:r>
        <w:instrText xml:space="preserve">=5\*GB2</w:instrText>
      </w:r>
      <w:r>
        <w:fldChar w:fldCharType="separate"/>
      </w:r>
      <w:r>
        <w:t>（5）</w:t>
      </w:r>
      <w:r>
        <w:fldChar w:fldCharType="end"/>
      </w:r>
      <w:r>
        <w:t>力求“协调一致”原则，本预案应和本地区、本部门其它相关预案相协调。</w:t>
      </w:r>
    </w:p>
    <w:p>
      <w:pPr>
        <w:ind w:firstLine="480"/>
      </w:pPr>
      <w:r>
        <w:fldChar w:fldCharType="begin"/>
      </w:r>
      <w:r>
        <w:instrText xml:space="preserve">=6\*GB2</w:instrText>
      </w:r>
      <w:r>
        <w:fldChar w:fldCharType="separate"/>
      </w:r>
      <w:r>
        <w:t>（6）</w:t>
      </w:r>
      <w:r>
        <w:fldChar w:fldCharType="end"/>
      </w:r>
      <w:r>
        <w:t>实行“动态管理”原则，本预案将根据实际情况适时进行修订，不断补充完善。</w:t>
      </w:r>
    </w:p>
    <w:p>
      <w:pPr>
        <w:pStyle w:val="3"/>
        <w:spacing w:before="120" w:after="120"/>
      </w:pPr>
      <w:bookmarkStart w:id="10" w:name="_Toc12169"/>
      <w:r>
        <w:t>1.4 适用范围</w:t>
      </w:r>
      <w:bookmarkEnd w:id="10"/>
    </w:p>
    <w:p>
      <w:pPr>
        <w:ind w:firstLine="480"/>
      </w:pPr>
      <w:r>
        <w:t>本预案适用于在工农水库突发事件影响区域内的各级人民政府及相关单位，对水库遭遇突发事件的防汛抢险应急处置工作。水库遭遇的突发事件是指水库工程因超标准洪水、工程隐患、地震灾害、地质灾害、上游水库溃坝、上游大体积漂移物的撞击事件、战争或恐怖事件等因素导致的各类险情。</w:t>
      </w:r>
    </w:p>
    <w:p>
      <w:pPr>
        <w:pStyle w:val="3"/>
        <w:spacing w:before="120" w:after="120"/>
      </w:pPr>
      <w:bookmarkStart w:id="11" w:name="_Toc26752"/>
      <w:bookmarkStart w:id="12" w:name="_Toc25229"/>
      <w:bookmarkStart w:id="13" w:name="_Toc22703"/>
      <w:bookmarkStart w:id="14" w:name="_Toc10444"/>
      <w:bookmarkStart w:id="15" w:name="_Toc32587"/>
      <w:bookmarkStart w:id="16" w:name="_Toc31750"/>
      <w:r>
        <w:t>1.5 编制任务由来</w:t>
      </w:r>
      <w:bookmarkEnd w:id="11"/>
      <w:bookmarkEnd w:id="12"/>
      <w:bookmarkEnd w:id="13"/>
      <w:bookmarkEnd w:id="14"/>
      <w:bookmarkEnd w:id="15"/>
      <w:bookmarkEnd w:id="16"/>
    </w:p>
    <w:p>
      <w:pPr>
        <w:ind w:firstLine="480"/>
        <w:rPr>
          <w:sz w:val="28"/>
          <w:szCs w:val="28"/>
        </w:rPr>
      </w:pPr>
      <w:r>
        <w:t>重庆市沙坪坝区梁滩河片区水库管理站于2018年7月委托重庆信博水利工程设计有限公司编制完成了本水库防洪抢险应急预案。依据《重庆市防汛抗旱指挥部关于完善水库水电站汛期调度运用计划和防洪抢险应急预案审批及备案制度的通知》（渝汛〔2013〕19号）文件中第二条中提及：“若发生重大险情、工程出现病险、水情发生重大变化、防洪任务发生重大变化、库区发生重大变化等情况，应立即进行修订并按对应权限进行审批。审批和备案工作须在每年汛前完成。”为了确保水库安全度汛，充分发挥水库综合功能，2023年3月，受重庆市沙坪坝区农业农村委员会委托，我公司（精佳建设工程集团有限公司）承担了沙坪坝区工农水库防洪抢险应急预案报告的编制工作任务，并于2023年4月编制完成了《重庆市沙坪坝区工农水库防洪抢险应急预案》。</w:t>
      </w:r>
      <w:r>
        <w:rPr>
          <w:szCs w:val="22"/>
        </w:rPr>
        <w:t>编制过程中得到了沙坪坝区防汛抗旱指挥部、沙坪坝区农业农村委员会、沙坪坝区应急管理局及涉及乡镇街道等相关单位的大力协助，我公司在此表示深深的谢意！</w:t>
      </w:r>
    </w:p>
    <w:p>
      <w:pPr>
        <w:ind w:firstLine="560"/>
        <w:rPr>
          <w:sz w:val="28"/>
          <w:szCs w:val="28"/>
        </w:rPr>
        <w:sectPr>
          <w:footerReference r:id="rId11" w:type="first"/>
          <w:pgSz w:w="11905" w:h="16838"/>
          <w:pgMar w:top="1417" w:right="1502" w:bottom="1417" w:left="1502" w:header="850" w:footer="992" w:gutter="0"/>
          <w:pgNumType w:start="1"/>
          <w:cols w:space="0" w:num="1"/>
          <w:docGrid w:linePitch="435" w:charSpace="0"/>
        </w:sectPr>
      </w:pPr>
    </w:p>
    <w:p>
      <w:pPr>
        <w:pStyle w:val="2"/>
        <w:spacing w:before="240" w:after="240"/>
      </w:pPr>
      <w:bookmarkStart w:id="17" w:name="_Toc4990"/>
      <w:r>
        <w:t>2工程概况</w:t>
      </w:r>
      <w:bookmarkEnd w:id="17"/>
    </w:p>
    <w:p>
      <w:pPr>
        <w:pStyle w:val="3"/>
        <w:spacing w:before="120" w:after="120"/>
      </w:pPr>
      <w:bookmarkStart w:id="18" w:name="_Toc9698"/>
      <w:bookmarkStart w:id="19" w:name="_Toc323302891"/>
      <w:r>
        <w:t>2.1流域概况</w:t>
      </w:r>
      <w:bookmarkEnd w:id="18"/>
      <w:bookmarkEnd w:id="19"/>
    </w:p>
    <w:p>
      <w:pPr>
        <w:pStyle w:val="4"/>
        <w:spacing w:before="120" w:after="120"/>
      </w:pPr>
      <w:bookmarkStart w:id="20" w:name="_Toc381201319"/>
      <w:r>
        <w:t>2.1.1自然地理</w:t>
      </w:r>
      <w:bookmarkEnd w:id="20"/>
    </w:p>
    <w:p>
      <w:pPr>
        <w:ind w:firstLine="480"/>
      </w:pPr>
      <w:r>
        <w:t>工农水库位于沙坪坝区青木关镇，距青木关镇政府所在地约2.5km</w:t>
      </w:r>
      <w:r>
        <w:rPr>
          <w:rFonts w:hint="eastAsia"/>
        </w:rPr>
        <w:t>，</w:t>
      </w:r>
      <w:r>
        <w:t>有成渝公路（老路）、青北公路穿越库区，交通十分便利。工农水库属嘉陵江水系，位于嘉陵江一级支流梁滩河青木溪支流黑塘坎处</w:t>
      </w:r>
      <w:r>
        <w:rPr>
          <w:rFonts w:hint="eastAsia"/>
        </w:rPr>
        <w:t>，原设计</w:t>
      </w:r>
      <w:r>
        <w:t>是一座以灌溉、防洪为主的小（1）型水库</w:t>
      </w:r>
      <w:r>
        <w:rPr>
          <w:rFonts w:hint="eastAsia"/>
        </w:rPr>
        <w:t>，现阶段上述两大工程任务保持不变。</w:t>
      </w:r>
    </w:p>
    <w:p>
      <w:pPr>
        <w:ind w:firstLine="480"/>
      </w:pPr>
      <w:r>
        <w:t>工农水库坝址位于沙坪坝区北部浅丘平坝地带，水库坝址处河床底部海拔高程约255.0m，坝址以上集雨面积25.51km²，水库总库容为285万m³</w:t>
      </w:r>
      <w:r>
        <w:rPr>
          <w:rFonts w:hint="eastAsia"/>
        </w:rPr>
        <w:t>，</w:t>
      </w:r>
      <w:r>
        <w:t>正常库容144万m³，无死库容。设计灌溉面积4800亩，实际有效灌溉面积4800亩。</w:t>
      </w:r>
    </w:p>
    <w:p>
      <w:pPr>
        <w:pStyle w:val="4"/>
        <w:spacing w:before="120" w:after="120"/>
      </w:pPr>
      <w:r>
        <w:t>2.1.2水文气象</w:t>
      </w:r>
    </w:p>
    <w:p>
      <w:pPr>
        <w:ind w:firstLine="480"/>
      </w:pPr>
      <w:r>
        <w:t>工农水库流域属四川盆地亚热带湿润季风气候区，具有四季分明，气候温和，降雨丰沛，冬暖春旱，初夏多雨，盛夏炎热常伏旱，秋迟多有连绵阴雨，无霜期长，热量充沛以及风速小、湿度大、云雾多、日照少等特征。</w:t>
      </w:r>
    </w:p>
    <w:p>
      <w:pPr>
        <w:ind w:firstLine="480"/>
      </w:pPr>
      <w:r>
        <w:t>据流域邻近的沙坪坝气象站</w:t>
      </w:r>
      <w:r>
        <w:rPr>
          <w:snapToGrid w:val="0"/>
        </w:rPr>
        <w:t>1980～2019年</w:t>
      </w:r>
      <w:r>
        <w:t>实测资料统计：</w:t>
      </w:r>
    </w:p>
    <w:p>
      <w:pPr>
        <w:ind w:firstLine="480"/>
      </w:pPr>
      <w:r>
        <w:t>降雨：多年平均降雨</w:t>
      </w:r>
      <w:r>
        <w:rPr>
          <w:rFonts w:hint="eastAsia"/>
        </w:rPr>
        <w:t>1180</w:t>
      </w:r>
      <w:r>
        <w:t>mm，冬半季（10～3月）降雨约占全年降雨量的23%，夏半季（4～9月）降雨约占全年降雨量的77%，历年的雨日为130d～192d，多年平均159d。年内暴雨（日雨量大于50mm）多在5～9月，个别年份却始于3月27日，终于10月21日，出现的次数各年不一，最多的5次，最少的0次，平均每年近3次。暴雨的持续时间一般为一天，最长不超过两天。根据沙坪坝气象站2007年7月17日～18日实测资料，最大24h降雨量为271.0mm。</w:t>
      </w:r>
    </w:p>
    <w:p>
      <w:pPr>
        <w:ind w:firstLine="480"/>
      </w:pPr>
      <w:r>
        <w:t>气温：多年平均气温18.4℃，气温年际变化不大，但年份变化较大，以7、8月最高，1月最低，极端最高气温43.0℃（2006年8月15日），极端最低气温－2.9℃（1955年1月11日）。</w:t>
      </w:r>
    </w:p>
    <w:p>
      <w:pPr>
        <w:ind w:firstLine="480"/>
      </w:pPr>
      <w:r>
        <w:t>日照：多年平均日照1364h，8月份日照最多，最高可达323.3h，12月份日照最少，最低只有3.3h。</w:t>
      </w:r>
    </w:p>
    <w:p>
      <w:pPr>
        <w:ind w:firstLine="480"/>
      </w:pPr>
      <w:r>
        <w:t>湿度：多年平均相对湿度81%左右。</w:t>
      </w:r>
    </w:p>
    <w:p>
      <w:pPr>
        <w:ind w:firstLine="480"/>
      </w:pPr>
      <w:r>
        <w:t>风速、风向：多年平均风速为1.6m/s，多年平均最大风速为15m/s。实测最大风速为18.7m/s（风向缺测），发生在8月份，年内一般多北风、东风。</w:t>
      </w:r>
    </w:p>
    <w:p>
      <w:pPr>
        <w:ind w:firstLine="480"/>
        <w:rPr>
          <w:szCs w:val="28"/>
        </w:rPr>
      </w:pPr>
      <w:r>
        <w:t>蒸发：多年平均蒸发量为864mm，最大蒸发月为1964年7月，蒸发量为259.0mm，最小蒸发月为1977年1月，蒸发量为12.2mm。</w:t>
      </w:r>
    </w:p>
    <w:p>
      <w:pPr>
        <w:pStyle w:val="4"/>
        <w:spacing w:before="120" w:after="120"/>
      </w:pPr>
      <w:r>
        <w:t>2.1.3流域内水利工程建设情况</w:t>
      </w:r>
    </w:p>
    <w:p>
      <w:pPr>
        <w:ind w:firstLine="480"/>
      </w:pPr>
      <w:r>
        <w:t>经调查，工农水库所在河流为梁滩河</w:t>
      </w:r>
      <w:r>
        <w:rPr>
          <w:rFonts w:hint="eastAsia"/>
        </w:rPr>
        <w:t>左</w:t>
      </w:r>
      <w:r>
        <w:t>岸一级支流青木溪，水库位于青木溪的上游，该河流现状除工农水库外无其他水利设施。</w:t>
      </w:r>
    </w:p>
    <w:p>
      <w:pPr>
        <w:pStyle w:val="3"/>
        <w:spacing w:before="120" w:after="120"/>
      </w:pPr>
      <w:bookmarkStart w:id="21" w:name="_Toc13688"/>
      <w:r>
        <w:t>2.2工程基本情况</w:t>
      </w:r>
      <w:bookmarkEnd w:id="21"/>
    </w:p>
    <w:p>
      <w:pPr>
        <w:ind w:firstLine="480"/>
      </w:pPr>
      <w:r>
        <w:t>工农水库位于沙坪坝区青木关镇，</w:t>
      </w:r>
      <w:r>
        <w:rPr>
          <w:rFonts w:hint="eastAsia"/>
        </w:rPr>
        <w:t>原设计</w:t>
      </w:r>
      <w:r>
        <w:t>是一座以灌溉、防洪为主的小（1）型水库</w:t>
      </w:r>
      <w:r>
        <w:rPr>
          <w:rFonts w:hint="eastAsia"/>
        </w:rPr>
        <w:t>，现阶段上述两大工程任务保持不变。</w:t>
      </w:r>
      <w:r>
        <w:t>水库总库容285万m³，校核洪水位273.43m，设计洪水位272.65m，正常蓄水位270.36m，死水位258.60m。</w:t>
      </w:r>
    </w:p>
    <w:p>
      <w:pPr>
        <w:pStyle w:val="4"/>
        <w:spacing w:before="120" w:after="120"/>
      </w:pPr>
      <w:r>
        <w:t>2.2.1工程概况</w:t>
      </w:r>
    </w:p>
    <w:p>
      <w:pPr>
        <w:ind w:firstLine="480"/>
      </w:pPr>
      <w:r>
        <w:fldChar w:fldCharType="begin"/>
      </w:r>
      <w:r>
        <w:instrText xml:space="preserve">=1\*GB2</w:instrText>
      </w:r>
      <w:r>
        <w:fldChar w:fldCharType="separate"/>
      </w:r>
      <w:r>
        <w:t>（1）</w:t>
      </w:r>
      <w:r>
        <w:fldChar w:fldCharType="end"/>
      </w:r>
      <w:r>
        <w:t>工程等级及防洪标准</w:t>
      </w:r>
    </w:p>
    <w:p>
      <w:pPr>
        <w:ind w:firstLine="480"/>
      </w:pPr>
      <w:r>
        <w:t>根据《水利水电枢纽工程等级划分及洪水标准》（SL252-2017）和《防洪标准》（GB50201-2014）规定，本工程等别为Ⅳ等，大坝、溢洪道泄洪建筑物和放水建筑物级别为4级，设计洪水标准为50年一遇，校核洪水标准为500年一遇，溢洪道消能防冲设施洪水标准为20年一遇。</w:t>
      </w:r>
    </w:p>
    <w:p>
      <w:pPr>
        <w:ind w:firstLine="480"/>
      </w:pPr>
      <w:r>
        <w:fldChar w:fldCharType="begin"/>
      </w:r>
      <w:r>
        <w:instrText xml:space="preserve"> = 2 \* GB2 </w:instrText>
      </w:r>
      <w:r>
        <w:fldChar w:fldCharType="separate"/>
      </w:r>
      <w:r>
        <w:t>（2）</w:t>
      </w:r>
      <w:r>
        <w:fldChar w:fldCharType="end"/>
      </w:r>
      <w:r>
        <w:t>建筑物基本情况</w:t>
      </w:r>
    </w:p>
    <w:p>
      <w:pPr>
        <w:ind w:firstLine="480"/>
      </w:pPr>
      <w:r>
        <w:t>水库枢纽工程由砌石单拱坝、溢洪道（坝顶溢流），放水建筑物等组成。</w:t>
      </w:r>
    </w:p>
    <w:p>
      <w:pPr>
        <w:ind w:firstLine="480"/>
      </w:pPr>
      <w:r>
        <w:t>大坝：大坝为浆砌石拱坝，坝顶溢流。大坝左、右非溢流坝段各长26.0m（拱轴线），坝顶高程273.54 m，坝顶宽度3.5m，坝顶设置1.2m高C25钢筋砼防浪墙。非溢流坝段为M10浆砌条石坝体。坝体上游面采用C20防水砼锚喷支护，下游面及坝顶采用M7.5水泥砂浆抹面。</w:t>
      </w:r>
    </w:p>
    <w:p>
      <w:pPr>
        <w:ind w:firstLine="480"/>
      </w:pPr>
      <w:r>
        <w:t>大坝溢流坝段长36.8m（拱轴线），坝顶溢流堰为WES堰，下接挑流鼻坎，堰顶高程270.36m，最大坝高17.96m，最大底宽4.5m。溢流面板和导水墙均采用C25砼，厚度500mm，溢流坝段下游采用M10浆砌条石。坝体上游面采用C20防水砼锚喷支护，下游面及坝顶采用M7.5水泥砂浆抹面。</w:t>
      </w:r>
    </w:p>
    <w:tbl>
      <w:tblPr>
        <w:tblStyle w:val="10"/>
        <w:tblW w:w="0" w:type="auto"/>
        <w:jc w:val="center"/>
        <w:tblLayout w:type="autofit"/>
        <w:tblCellMar>
          <w:top w:w="0" w:type="dxa"/>
          <w:left w:w="108" w:type="dxa"/>
          <w:bottom w:w="0" w:type="dxa"/>
          <w:right w:w="108" w:type="dxa"/>
        </w:tblCellMar>
      </w:tblPr>
      <w:tblGrid>
        <w:gridCol w:w="9117"/>
      </w:tblGrid>
      <w:tr>
        <w:tblPrEx>
          <w:tblCellMar>
            <w:top w:w="0" w:type="dxa"/>
            <w:left w:w="108" w:type="dxa"/>
            <w:bottom w:w="0" w:type="dxa"/>
            <w:right w:w="108" w:type="dxa"/>
          </w:tblCellMar>
        </w:tblPrEx>
        <w:trPr>
          <w:jc w:val="center"/>
        </w:trPr>
        <w:tc>
          <w:tcPr>
            <w:tcW w:w="9117" w:type="dxa"/>
            <w:shd w:val="clear" w:color="auto" w:fill="auto"/>
          </w:tcPr>
          <w:p>
            <w:pPr>
              <w:pStyle w:val="19"/>
              <w:rPr>
                <w:sz w:val="24"/>
                <w:szCs w:val="24"/>
              </w:rPr>
            </w:pPr>
            <w:r>
              <w:rPr>
                <w:sz w:val="24"/>
                <w:szCs w:val="24"/>
              </w:rPr>
              <w:drawing>
                <wp:inline distT="0" distB="0" distL="114300" distR="114300">
                  <wp:extent cx="5638800" cy="2533650"/>
                  <wp:effectExtent l="0" t="0" r="0" b="0"/>
                  <wp:docPr id="75" name="图片 1" descr="IMG_20230326_1416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图片 1" descr="IMG_20230326_141611"/>
                          <pic:cNvPicPr>
                            <a:picLocks noChangeAspect="true"/>
                          </pic:cNvPicPr>
                        </pic:nvPicPr>
                        <pic:blipFill>
                          <a:blip r:embed="rId14"/>
                          <a:stretch>
                            <a:fillRect/>
                          </a:stretch>
                        </pic:blipFill>
                        <pic:spPr>
                          <a:xfrm>
                            <a:off x="0" y="0"/>
                            <a:ext cx="5638800" cy="253365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9117" w:type="dxa"/>
            <w:shd w:val="clear" w:color="auto" w:fill="auto"/>
          </w:tcPr>
          <w:p>
            <w:pPr>
              <w:pStyle w:val="19"/>
              <w:rPr>
                <w:sz w:val="24"/>
                <w:szCs w:val="24"/>
              </w:rPr>
            </w:pPr>
            <w:r>
              <w:rPr>
                <w:rFonts w:cs="Times New Roman"/>
                <w:b/>
                <w:bCs/>
                <w:sz w:val="24"/>
                <w:szCs w:val="24"/>
              </w:rPr>
              <w:t xml:space="preserve">图2.2-1  </w:t>
            </w:r>
            <w:r>
              <w:rPr>
                <w:rFonts w:hint="eastAsia" w:cs="Times New Roman"/>
                <w:b/>
                <w:bCs/>
                <w:sz w:val="24"/>
                <w:szCs w:val="24"/>
              </w:rPr>
              <w:t>工农</w:t>
            </w:r>
            <w:r>
              <w:rPr>
                <w:rFonts w:cs="Times New Roman"/>
                <w:b/>
                <w:bCs/>
                <w:sz w:val="24"/>
                <w:szCs w:val="24"/>
              </w:rPr>
              <w:t>水库大坝现状</w:t>
            </w:r>
          </w:p>
        </w:tc>
      </w:tr>
    </w:tbl>
    <w:p>
      <w:pPr>
        <w:ind w:firstLine="480"/>
      </w:pPr>
      <w:r>
        <w:t>溢洪道：溢洪道由实用堰曲线段、挑流消能、护坦三部分组成。溢流堰净宽36.8m，堰顶型式为WES曲线型实用堰，控制段堰坝高程270.36 m；溢洪道消能采用挑流消能，反弧段半径R为6.0m，挑流出口点高程为269.18m，从鼻坎脚算起为10m长的C25砼护坦，护坦边墙为M7.5浆砌条石。</w:t>
      </w:r>
    </w:p>
    <w:tbl>
      <w:tblPr>
        <w:tblStyle w:val="10"/>
        <w:tblW w:w="0" w:type="auto"/>
        <w:jc w:val="center"/>
        <w:tblLayout w:type="autofit"/>
        <w:tblCellMar>
          <w:top w:w="0" w:type="dxa"/>
          <w:left w:w="108" w:type="dxa"/>
          <w:bottom w:w="0" w:type="dxa"/>
          <w:right w:w="108" w:type="dxa"/>
        </w:tblCellMar>
      </w:tblPr>
      <w:tblGrid>
        <w:gridCol w:w="9117"/>
      </w:tblGrid>
      <w:tr>
        <w:tblPrEx>
          <w:tblCellMar>
            <w:top w:w="0" w:type="dxa"/>
            <w:left w:w="108" w:type="dxa"/>
            <w:bottom w:w="0" w:type="dxa"/>
            <w:right w:w="108" w:type="dxa"/>
          </w:tblCellMar>
        </w:tblPrEx>
        <w:trPr>
          <w:jc w:val="center"/>
        </w:trPr>
        <w:tc>
          <w:tcPr>
            <w:tcW w:w="9117" w:type="dxa"/>
            <w:shd w:val="clear" w:color="auto" w:fill="auto"/>
          </w:tcPr>
          <w:p>
            <w:pPr>
              <w:pStyle w:val="19"/>
              <w:rPr>
                <w:sz w:val="24"/>
                <w:szCs w:val="24"/>
              </w:rPr>
            </w:pPr>
            <w:r>
              <w:rPr>
                <w:sz w:val="24"/>
                <w:szCs w:val="24"/>
              </w:rPr>
              <w:drawing>
                <wp:inline distT="0" distB="0" distL="114300" distR="114300">
                  <wp:extent cx="5638800" cy="2533650"/>
                  <wp:effectExtent l="0" t="0" r="0" b="0"/>
                  <wp:docPr id="76" name="图片 2" descr="IMG_20230326_1413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 name="图片 2" descr="IMG_20230326_141348"/>
                          <pic:cNvPicPr>
                            <a:picLocks noChangeAspect="true"/>
                          </pic:cNvPicPr>
                        </pic:nvPicPr>
                        <pic:blipFill>
                          <a:blip r:embed="rId15"/>
                          <a:stretch>
                            <a:fillRect/>
                          </a:stretch>
                        </pic:blipFill>
                        <pic:spPr>
                          <a:xfrm>
                            <a:off x="0" y="0"/>
                            <a:ext cx="5638800" cy="253365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9117" w:type="dxa"/>
            <w:shd w:val="clear" w:color="auto" w:fill="auto"/>
          </w:tcPr>
          <w:p>
            <w:pPr>
              <w:pStyle w:val="19"/>
              <w:rPr>
                <w:rFonts w:cs="Times New Roman"/>
                <w:b/>
                <w:bCs/>
                <w:sz w:val="24"/>
                <w:szCs w:val="24"/>
              </w:rPr>
            </w:pPr>
            <w:r>
              <w:rPr>
                <w:rFonts w:cs="Times New Roman"/>
                <w:b/>
                <w:bCs/>
                <w:sz w:val="24"/>
                <w:szCs w:val="24"/>
              </w:rPr>
              <w:t>图2.2-</w:t>
            </w:r>
            <w:r>
              <w:rPr>
                <w:rFonts w:hint="eastAsia" w:cs="Times New Roman"/>
                <w:b/>
                <w:bCs/>
                <w:sz w:val="24"/>
                <w:szCs w:val="24"/>
              </w:rPr>
              <w:t>2</w:t>
            </w:r>
            <w:r>
              <w:rPr>
                <w:rFonts w:cs="Times New Roman"/>
                <w:b/>
                <w:bCs/>
                <w:sz w:val="24"/>
                <w:szCs w:val="24"/>
              </w:rPr>
              <w:t xml:space="preserve">  </w:t>
            </w:r>
            <w:r>
              <w:rPr>
                <w:rFonts w:hint="eastAsia" w:cs="Times New Roman"/>
                <w:b/>
                <w:bCs/>
                <w:sz w:val="24"/>
                <w:szCs w:val="24"/>
              </w:rPr>
              <w:t>工农</w:t>
            </w:r>
            <w:r>
              <w:rPr>
                <w:rFonts w:cs="Times New Roman"/>
                <w:b/>
                <w:bCs/>
                <w:sz w:val="24"/>
                <w:szCs w:val="24"/>
              </w:rPr>
              <w:t>水库溢洪道现状</w:t>
            </w:r>
          </w:p>
        </w:tc>
      </w:tr>
    </w:tbl>
    <w:p>
      <w:pPr>
        <w:ind w:firstLine="480"/>
      </w:pPr>
      <w:r>
        <w:t>放水设施：放水设施位于水库右岸，距大坝60m，其结构型式为浆砌条石半圆拱直墙隧洞，直墙断面（宽×高）2.0×1.0m，半径为1.0m；隧洞进口取水型式为潜没式，采用</w:t>
      </w:r>
      <w:r>
        <w:rPr>
          <w:rFonts w:hint="eastAsia"/>
        </w:rPr>
        <w:t>自动</w:t>
      </w:r>
      <w:r>
        <w:t>闸门，闸门断面（宽×高）1.3×1.8m，最大放水流量为1.58m³/s。水库大坝中间设有放空底孔，为</w:t>
      </w:r>
      <w:r>
        <w:rPr>
          <w:rFonts w:hint="eastAsia"/>
        </w:rPr>
        <w:t>自动</w:t>
      </w:r>
      <w:r>
        <w:t>闸阀φ=500mm。</w:t>
      </w:r>
    </w:p>
    <w:tbl>
      <w:tblPr>
        <w:tblStyle w:val="10"/>
        <w:tblW w:w="0" w:type="auto"/>
        <w:jc w:val="center"/>
        <w:tblLayout w:type="autofit"/>
        <w:tblCellMar>
          <w:top w:w="0" w:type="dxa"/>
          <w:left w:w="108" w:type="dxa"/>
          <w:bottom w:w="0" w:type="dxa"/>
          <w:right w:w="108" w:type="dxa"/>
        </w:tblCellMar>
      </w:tblPr>
      <w:tblGrid>
        <w:gridCol w:w="9117"/>
      </w:tblGrid>
      <w:tr>
        <w:tblPrEx>
          <w:tblCellMar>
            <w:top w:w="0" w:type="dxa"/>
            <w:left w:w="108" w:type="dxa"/>
            <w:bottom w:w="0" w:type="dxa"/>
            <w:right w:w="108" w:type="dxa"/>
          </w:tblCellMar>
        </w:tblPrEx>
        <w:trPr>
          <w:jc w:val="center"/>
        </w:trPr>
        <w:tc>
          <w:tcPr>
            <w:tcW w:w="9117" w:type="dxa"/>
            <w:shd w:val="clear" w:color="auto" w:fill="auto"/>
          </w:tcPr>
          <w:p>
            <w:pPr>
              <w:pStyle w:val="19"/>
              <w:rPr>
                <w:sz w:val="24"/>
                <w:szCs w:val="24"/>
              </w:rPr>
            </w:pPr>
            <w:r>
              <w:rPr>
                <w:sz w:val="24"/>
                <w:szCs w:val="24"/>
              </w:rPr>
              <w:drawing>
                <wp:inline distT="0" distB="0" distL="114300" distR="114300">
                  <wp:extent cx="5638800" cy="2533650"/>
                  <wp:effectExtent l="0" t="0" r="0" b="0"/>
                  <wp:docPr id="77" name="图片 3" descr="IMG_20230326_1417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 name="图片 3" descr="IMG_20230326_141729"/>
                          <pic:cNvPicPr>
                            <a:picLocks noChangeAspect="true"/>
                          </pic:cNvPicPr>
                        </pic:nvPicPr>
                        <pic:blipFill>
                          <a:blip r:embed="rId16"/>
                          <a:stretch>
                            <a:fillRect/>
                          </a:stretch>
                        </pic:blipFill>
                        <pic:spPr>
                          <a:xfrm>
                            <a:off x="0" y="0"/>
                            <a:ext cx="5638800" cy="253365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9117" w:type="dxa"/>
            <w:shd w:val="clear" w:color="auto" w:fill="auto"/>
          </w:tcPr>
          <w:p>
            <w:pPr>
              <w:pStyle w:val="19"/>
              <w:rPr>
                <w:rFonts w:cs="Times New Roman"/>
                <w:b/>
                <w:bCs/>
                <w:sz w:val="24"/>
                <w:szCs w:val="24"/>
              </w:rPr>
            </w:pPr>
            <w:r>
              <w:rPr>
                <w:rFonts w:cs="Times New Roman"/>
                <w:b/>
                <w:bCs/>
                <w:sz w:val="24"/>
                <w:szCs w:val="24"/>
              </w:rPr>
              <w:t>图2.2-</w:t>
            </w:r>
            <w:r>
              <w:rPr>
                <w:rFonts w:hint="eastAsia" w:cs="Times New Roman"/>
                <w:b/>
                <w:bCs/>
                <w:sz w:val="24"/>
                <w:szCs w:val="24"/>
              </w:rPr>
              <w:t>3</w:t>
            </w:r>
            <w:r>
              <w:rPr>
                <w:rFonts w:cs="Times New Roman"/>
                <w:b/>
                <w:bCs/>
                <w:sz w:val="24"/>
                <w:szCs w:val="24"/>
              </w:rPr>
              <w:t xml:space="preserve">  </w:t>
            </w:r>
            <w:r>
              <w:rPr>
                <w:rFonts w:hint="eastAsia" w:cs="Times New Roman"/>
                <w:b/>
                <w:bCs/>
                <w:sz w:val="24"/>
                <w:szCs w:val="24"/>
              </w:rPr>
              <w:t>工农</w:t>
            </w:r>
            <w:r>
              <w:rPr>
                <w:rFonts w:cs="Times New Roman"/>
                <w:b/>
                <w:bCs/>
                <w:sz w:val="24"/>
                <w:szCs w:val="24"/>
              </w:rPr>
              <w:t>水库</w:t>
            </w:r>
            <w:r>
              <w:rPr>
                <w:rFonts w:hint="eastAsia" w:cs="Times New Roman"/>
                <w:b/>
                <w:bCs/>
                <w:sz w:val="24"/>
                <w:szCs w:val="24"/>
              </w:rPr>
              <w:t>放水设施</w:t>
            </w:r>
            <w:r>
              <w:rPr>
                <w:rFonts w:cs="Times New Roman"/>
                <w:b/>
                <w:bCs/>
                <w:sz w:val="24"/>
                <w:szCs w:val="24"/>
              </w:rPr>
              <w:t>现状</w:t>
            </w:r>
          </w:p>
        </w:tc>
      </w:tr>
    </w:tbl>
    <w:p>
      <w:pPr>
        <w:pStyle w:val="4"/>
        <w:spacing w:before="120" w:after="120"/>
      </w:pPr>
      <w:r>
        <w:t>2.2.2水库特征曲线</w:t>
      </w:r>
    </w:p>
    <w:p>
      <w:pPr>
        <w:ind w:firstLine="480"/>
      </w:pPr>
      <w:r>
        <w:fldChar w:fldCharType="begin"/>
      </w:r>
      <w:r>
        <w:instrText xml:space="preserve"> = 1 \* GB2 </w:instrText>
      </w:r>
      <w:r>
        <w:fldChar w:fldCharType="separate"/>
      </w:r>
      <w:r>
        <w:t>（1）</w:t>
      </w:r>
      <w:r>
        <w:fldChar w:fldCharType="end"/>
      </w:r>
      <w:r>
        <w:t>库容曲线</w:t>
      </w:r>
    </w:p>
    <w:p>
      <w:pPr>
        <w:ind w:firstLine="480"/>
      </w:pPr>
      <w:r>
        <w:t>库容曲线采用</w:t>
      </w:r>
      <w:r>
        <w:rPr>
          <w:rFonts w:hint="eastAsia"/>
        </w:rPr>
        <w:t>《</w:t>
      </w:r>
      <w:r>
        <w:t>工农水库大坝安全评价报告</w:t>
      </w:r>
      <w:r>
        <w:rPr>
          <w:rFonts w:hint="eastAsia"/>
        </w:rPr>
        <w:t>》</w:t>
      </w:r>
      <w:r>
        <w:t>（2020年7月精佳建设工程集团有限公司编制完成已批复）中的水库库容曲线</w:t>
      </w:r>
      <w:r>
        <w:rPr>
          <w:rFonts w:hint="eastAsia"/>
        </w:rPr>
        <w:t>，</w:t>
      </w:r>
      <w:r>
        <w:t>见表2.2-</w:t>
      </w:r>
      <w:r>
        <w:rPr>
          <w:rFonts w:hint="eastAsia"/>
        </w:rPr>
        <w:t>1</w:t>
      </w:r>
      <w:r>
        <w:t>。</w:t>
      </w:r>
    </w:p>
    <w:p>
      <w:pPr>
        <w:pStyle w:val="18"/>
        <w:rPr>
          <w:rFonts w:cs="Times New Roman"/>
        </w:rPr>
      </w:pPr>
      <w:r>
        <w:rPr>
          <w:rFonts w:cs="Times New Roman"/>
        </w:rPr>
        <w:t>表2.2-1  工农水库水位～库容曲线表</w:t>
      </w:r>
    </w:p>
    <w:tbl>
      <w:tblPr>
        <w:tblStyle w:val="1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01"/>
        <w:gridCol w:w="2270"/>
        <w:gridCol w:w="2270"/>
        <w:gridCol w:w="22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62" w:type="pct"/>
            <w:vAlign w:val="center"/>
          </w:tcPr>
          <w:p>
            <w:pPr>
              <w:pStyle w:val="19"/>
              <w:rPr>
                <w:rFonts w:cs="Times New Roman"/>
              </w:rPr>
            </w:pPr>
            <w:r>
              <w:rPr>
                <w:rFonts w:cs="Times New Roman"/>
              </w:rPr>
              <w:t>水位（m）</w:t>
            </w:r>
          </w:p>
        </w:tc>
        <w:tc>
          <w:tcPr>
            <w:tcW w:w="1245" w:type="pct"/>
            <w:vAlign w:val="center"/>
          </w:tcPr>
          <w:p>
            <w:pPr>
              <w:pStyle w:val="19"/>
              <w:rPr>
                <w:rFonts w:cs="Times New Roman"/>
              </w:rPr>
            </w:pPr>
            <w:r>
              <w:rPr>
                <w:rFonts w:cs="Times New Roman"/>
              </w:rPr>
              <w:t>库容（万m³）</w:t>
            </w:r>
          </w:p>
        </w:tc>
        <w:tc>
          <w:tcPr>
            <w:tcW w:w="1245" w:type="pct"/>
            <w:vAlign w:val="center"/>
          </w:tcPr>
          <w:p>
            <w:pPr>
              <w:pStyle w:val="19"/>
              <w:rPr>
                <w:rFonts w:cs="Times New Roman"/>
              </w:rPr>
            </w:pPr>
            <w:r>
              <w:rPr>
                <w:rFonts w:cs="Times New Roman"/>
              </w:rPr>
              <w:t>水位（m）</w:t>
            </w:r>
          </w:p>
        </w:tc>
        <w:tc>
          <w:tcPr>
            <w:tcW w:w="1246" w:type="pct"/>
            <w:vAlign w:val="center"/>
          </w:tcPr>
          <w:p>
            <w:pPr>
              <w:pStyle w:val="19"/>
              <w:rPr>
                <w:rFonts w:cs="Times New Roman"/>
              </w:rPr>
            </w:pPr>
            <w:r>
              <w:rPr>
                <w:rFonts w:cs="Times New Roman"/>
              </w:rPr>
              <w:t>库容（万m³）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62" w:type="pct"/>
            <w:vAlign w:val="center"/>
          </w:tcPr>
          <w:p>
            <w:pPr>
              <w:pStyle w:val="19"/>
              <w:rPr>
                <w:rFonts w:cs="Times New Roman"/>
              </w:rPr>
            </w:pPr>
            <w:r>
              <w:rPr>
                <w:rFonts w:cs="Times New Roman"/>
              </w:rPr>
              <w:t>259</w:t>
            </w:r>
          </w:p>
        </w:tc>
        <w:tc>
          <w:tcPr>
            <w:tcW w:w="1245" w:type="pct"/>
            <w:vAlign w:val="center"/>
          </w:tcPr>
          <w:p>
            <w:pPr>
              <w:pStyle w:val="19"/>
              <w:rPr>
                <w:rFonts w:cs="Times New Roman"/>
              </w:rPr>
            </w:pPr>
            <w:r>
              <w:rPr>
                <w:rFonts w:cs="Times New Roman"/>
              </w:rPr>
              <w:t>3</w:t>
            </w:r>
          </w:p>
        </w:tc>
        <w:tc>
          <w:tcPr>
            <w:tcW w:w="1245" w:type="pct"/>
            <w:vAlign w:val="center"/>
          </w:tcPr>
          <w:p>
            <w:pPr>
              <w:pStyle w:val="19"/>
              <w:rPr>
                <w:rFonts w:cs="Times New Roman"/>
              </w:rPr>
            </w:pPr>
            <w:r>
              <w:rPr>
                <w:rFonts w:cs="Times New Roman"/>
              </w:rPr>
              <w:t>271.5</w:t>
            </w:r>
          </w:p>
        </w:tc>
        <w:tc>
          <w:tcPr>
            <w:tcW w:w="1246" w:type="pct"/>
            <w:vAlign w:val="center"/>
          </w:tcPr>
          <w:p>
            <w:pPr>
              <w:pStyle w:val="19"/>
              <w:rPr>
                <w:rFonts w:cs="Times New Roman"/>
              </w:rPr>
            </w:pPr>
            <w:r>
              <w:rPr>
                <w:rFonts w:cs="Times New Roman"/>
              </w:rPr>
              <w:t>189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62" w:type="pct"/>
            <w:vAlign w:val="center"/>
          </w:tcPr>
          <w:p>
            <w:pPr>
              <w:pStyle w:val="19"/>
              <w:rPr>
                <w:rFonts w:cs="Times New Roman"/>
              </w:rPr>
            </w:pPr>
            <w:r>
              <w:rPr>
                <w:rFonts w:cs="Times New Roman"/>
              </w:rPr>
              <w:t>262</w:t>
            </w:r>
          </w:p>
        </w:tc>
        <w:tc>
          <w:tcPr>
            <w:tcW w:w="1245" w:type="pct"/>
            <w:vAlign w:val="center"/>
          </w:tcPr>
          <w:p>
            <w:pPr>
              <w:pStyle w:val="19"/>
              <w:rPr>
                <w:rFonts w:cs="Times New Roman"/>
              </w:rPr>
            </w:pPr>
            <w:r>
              <w:rPr>
                <w:rFonts w:cs="Times New Roman"/>
              </w:rPr>
              <w:t>12</w:t>
            </w:r>
          </w:p>
        </w:tc>
        <w:tc>
          <w:tcPr>
            <w:tcW w:w="1245" w:type="pct"/>
            <w:vAlign w:val="center"/>
          </w:tcPr>
          <w:p>
            <w:pPr>
              <w:pStyle w:val="19"/>
              <w:rPr>
                <w:rFonts w:cs="Times New Roman"/>
              </w:rPr>
            </w:pPr>
            <w:r>
              <w:rPr>
                <w:rFonts w:cs="Times New Roman"/>
              </w:rPr>
              <w:t>272.0</w:t>
            </w:r>
          </w:p>
        </w:tc>
        <w:tc>
          <w:tcPr>
            <w:tcW w:w="1246" w:type="pct"/>
            <w:vAlign w:val="center"/>
          </w:tcPr>
          <w:p>
            <w:pPr>
              <w:pStyle w:val="19"/>
              <w:rPr>
                <w:rFonts w:cs="Times New Roman"/>
              </w:rPr>
            </w:pPr>
            <w:r>
              <w:rPr>
                <w:rFonts w:cs="Times New Roman"/>
              </w:rPr>
              <w:t>210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62" w:type="pct"/>
            <w:vAlign w:val="center"/>
          </w:tcPr>
          <w:p>
            <w:pPr>
              <w:pStyle w:val="19"/>
              <w:rPr>
                <w:rFonts w:cs="Times New Roman"/>
              </w:rPr>
            </w:pPr>
            <w:r>
              <w:rPr>
                <w:rFonts w:cs="Times New Roman"/>
              </w:rPr>
              <w:t>265</w:t>
            </w:r>
          </w:p>
        </w:tc>
        <w:tc>
          <w:tcPr>
            <w:tcW w:w="1245" w:type="pct"/>
            <w:vAlign w:val="center"/>
          </w:tcPr>
          <w:p>
            <w:pPr>
              <w:pStyle w:val="19"/>
              <w:rPr>
                <w:rFonts w:cs="Times New Roman"/>
              </w:rPr>
            </w:pPr>
            <w:r>
              <w:rPr>
                <w:rFonts w:cs="Times New Roman"/>
              </w:rPr>
              <w:t>36</w:t>
            </w:r>
          </w:p>
        </w:tc>
        <w:tc>
          <w:tcPr>
            <w:tcW w:w="1245" w:type="pct"/>
            <w:vAlign w:val="center"/>
          </w:tcPr>
          <w:p>
            <w:pPr>
              <w:pStyle w:val="19"/>
              <w:rPr>
                <w:rFonts w:cs="Times New Roman"/>
              </w:rPr>
            </w:pPr>
            <w:r>
              <w:rPr>
                <w:rFonts w:cs="Times New Roman"/>
              </w:rPr>
              <w:t>272.5</w:t>
            </w:r>
          </w:p>
        </w:tc>
        <w:tc>
          <w:tcPr>
            <w:tcW w:w="1246" w:type="pct"/>
            <w:vAlign w:val="center"/>
          </w:tcPr>
          <w:p>
            <w:pPr>
              <w:pStyle w:val="19"/>
              <w:rPr>
                <w:rFonts w:cs="Times New Roman"/>
              </w:rPr>
            </w:pPr>
            <w:r>
              <w:rPr>
                <w:rFonts w:cs="Times New Roman"/>
              </w:rPr>
              <w:t>237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62" w:type="pct"/>
            <w:vAlign w:val="center"/>
          </w:tcPr>
          <w:p>
            <w:pPr>
              <w:pStyle w:val="19"/>
              <w:rPr>
                <w:rFonts w:cs="Times New Roman"/>
              </w:rPr>
            </w:pPr>
            <w:r>
              <w:rPr>
                <w:rFonts w:cs="Times New Roman"/>
              </w:rPr>
              <w:t>268</w:t>
            </w:r>
          </w:p>
        </w:tc>
        <w:tc>
          <w:tcPr>
            <w:tcW w:w="1245" w:type="pct"/>
            <w:vAlign w:val="center"/>
          </w:tcPr>
          <w:p>
            <w:pPr>
              <w:pStyle w:val="19"/>
              <w:rPr>
                <w:rFonts w:cs="Times New Roman"/>
              </w:rPr>
            </w:pPr>
            <w:r>
              <w:rPr>
                <w:rFonts w:cs="Times New Roman"/>
              </w:rPr>
              <w:t>86</w:t>
            </w:r>
          </w:p>
        </w:tc>
        <w:tc>
          <w:tcPr>
            <w:tcW w:w="1245" w:type="pct"/>
            <w:vAlign w:val="center"/>
          </w:tcPr>
          <w:p>
            <w:pPr>
              <w:pStyle w:val="19"/>
              <w:rPr>
                <w:rFonts w:cs="Times New Roman"/>
              </w:rPr>
            </w:pPr>
            <w:r>
              <w:rPr>
                <w:rFonts w:cs="Times New Roman"/>
              </w:rPr>
              <w:t>273.0</w:t>
            </w:r>
          </w:p>
        </w:tc>
        <w:tc>
          <w:tcPr>
            <w:tcW w:w="1246" w:type="pct"/>
            <w:vAlign w:val="center"/>
          </w:tcPr>
          <w:p>
            <w:pPr>
              <w:pStyle w:val="19"/>
              <w:rPr>
                <w:rFonts w:cs="Times New Roman"/>
              </w:rPr>
            </w:pPr>
            <w:r>
              <w:rPr>
                <w:rFonts w:cs="Times New Roman"/>
              </w:rPr>
              <w:t>262.5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62" w:type="pct"/>
            <w:vAlign w:val="center"/>
          </w:tcPr>
          <w:p>
            <w:pPr>
              <w:pStyle w:val="19"/>
              <w:rPr>
                <w:rFonts w:cs="Times New Roman"/>
              </w:rPr>
            </w:pPr>
            <w:r>
              <w:rPr>
                <w:rFonts w:cs="Times New Roman"/>
              </w:rPr>
              <w:t>270</w:t>
            </w:r>
          </w:p>
        </w:tc>
        <w:tc>
          <w:tcPr>
            <w:tcW w:w="1245" w:type="pct"/>
            <w:vAlign w:val="center"/>
          </w:tcPr>
          <w:p>
            <w:pPr>
              <w:pStyle w:val="19"/>
              <w:rPr>
                <w:rFonts w:cs="Times New Roman"/>
              </w:rPr>
            </w:pPr>
            <w:r>
              <w:rPr>
                <w:rFonts w:cs="Times New Roman"/>
              </w:rPr>
              <w:t>132</w:t>
            </w:r>
          </w:p>
        </w:tc>
        <w:tc>
          <w:tcPr>
            <w:tcW w:w="1245" w:type="pct"/>
            <w:vAlign w:val="center"/>
          </w:tcPr>
          <w:p>
            <w:pPr>
              <w:pStyle w:val="19"/>
              <w:rPr>
                <w:rFonts w:cs="Times New Roman"/>
              </w:rPr>
            </w:pPr>
            <w:r>
              <w:rPr>
                <w:rFonts w:cs="Times New Roman"/>
              </w:rPr>
              <w:t>273.5</w:t>
            </w:r>
          </w:p>
        </w:tc>
        <w:tc>
          <w:tcPr>
            <w:tcW w:w="1246" w:type="pct"/>
            <w:vAlign w:val="center"/>
          </w:tcPr>
          <w:p>
            <w:pPr>
              <w:pStyle w:val="19"/>
              <w:rPr>
                <w:rFonts w:cs="Times New Roman"/>
              </w:rPr>
            </w:pPr>
            <w:r>
              <w:rPr>
                <w:rFonts w:cs="Times New Roman"/>
              </w:rPr>
              <w:t>290.0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62" w:type="pct"/>
            <w:vAlign w:val="center"/>
          </w:tcPr>
          <w:p>
            <w:pPr>
              <w:pStyle w:val="19"/>
              <w:rPr>
                <w:rFonts w:cs="Times New Roman"/>
              </w:rPr>
            </w:pPr>
            <w:r>
              <w:rPr>
                <w:rFonts w:cs="Times New Roman"/>
              </w:rPr>
              <w:t>270.36</w:t>
            </w:r>
          </w:p>
        </w:tc>
        <w:tc>
          <w:tcPr>
            <w:tcW w:w="1245" w:type="pct"/>
            <w:vAlign w:val="center"/>
          </w:tcPr>
          <w:p>
            <w:pPr>
              <w:pStyle w:val="19"/>
              <w:rPr>
                <w:rFonts w:cs="Times New Roman"/>
              </w:rPr>
            </w:pPr>
            <w:r>
              <w:rPr>
                <w:rFonts w:cs="Times New Roman"/>
              </w:rPr>
              <w:t>144</w:t>
            </w:r>
          </w:p>
        </w:tc>
        <w:tc>
          <w:tcPr>
            <w:tcW w:w="1245" w:type="pct"/>
            <w:vAlign w:val="center"/>
          </w:tcPr>
          <w:p>
            <w:pPr>
              <w:pStyle w:val="19"/>
              <w:rPr>
                <w:rFonts w:cs="Times New Roman"/>
              </w:rPr>
            </w:pPr>
            <w:r>
              <w:rPr>
                <w:rFonts w:cs="Times New Roman"/>
              </w:rPr>
              <w:t>274.0</w:t>
            </w:r>
          </w:p>
        </w:tc>
        <w:tc>
          <w:tcPr>
            <w:tcW w:w="1246" w:type="pct"/>
            <w:vAlign w:val="center"/>
          </w:tcPr>
          <w:p>
            <w:pPr>
              <w:pStyle w:val="19"/>
              <w:rPr>
                <w:rFonts w:cs="Times New Roman"/>
              </w:rPr>
            </w:pPr>
            <w:r>
              <w:rPr>
                <w:rFonts w:cs="Times New Roman"/>
              </w:rPr>
              <w:t>321.0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62" w:type="pct"/>
            <w:vAlign w:val="center"/>
          </w:tcPr>
          <w:p>
            <w:pPr>
              <w:pStyle w:val="19"/>
              <w:rPr>
                <w:rFonts w:cs="Times New Roman"/>
              </w:rPr>
            </w:pPr>
            <w:r>
              <w:rPr>
                <w:rFonts w:cs="Times New Roman"/>
              </w:rPr>
              <w:t>271</w:t>
            </w:r>
          </w:p>
        </w:tc>
        <w:tc>
          <w:tcPr>
            <w:tcW w:w="1245" w:type="pct"/>
            <w:vAlign w:val="center"/>
          </w:tcPr>
          <w:p>
            <w:pPr>
              <w:pStyle w:val="19"/>
              <w:rPr>
                <w:rFonts w:cs="Times New Roman"/>
              </w:rPr>
            </w:pPr>
            <w:r>
              <w:rPr>
                <w:rFonts w:cs="Times New Roman"/>
              </w:rPr>
              <w:t>168</w:t>
            </w:r>
          </w:p>
        </w:tc>
        <w:tc>
          <w:tcPr>
            <w:tcW w:w="1245" w:type="pct"/>
            <w:vAlign w:val="center"/>
          </w:tcPr>
          <w:p>
            <w:pPr>
              <w:pStyle w:val="19"/>
              <w:rPr>
                <w:rFonts w:cs="Times New Roman"/>
              </w:rPr>
            </w:pPr>
            <w:r>
              <w:rPr>
                <w:rFonts w:cs="Times New Roman"/>
              </w:rPr>
              <w:t>274.5</w:t>
            </w:r>
          </w:p>
        </w:tc>
        <w:tc>
          <w:tcPr>
            <w:tcW w:w="1246" w:type="pct"/>
            <w:vAlign w:val="center"/>
          </w:tcPr>
          <w:p>
            <w:pPr>
              <w:pStyle w:val="19"/>
              <w:rPr>
                <w:rFonts w:cs="Times New Roman"/>
              </w:rPr>
            </w:pPr>
            <w:r>
              <w:rPr>
                <w:rFonts w:cs="Times New Roman"/>
              </w:rPr>
              <w:t>352.5</w:t>
            </w:r>
          </w:p>
        </w:tc>
      </w:tr>
    </w:tbl>
    <w:p>
      <w:pPr>
        <w:ind w:firstLine="480"/>
      </w:pPr>
      <w:r>
        <w:fldChar w:fldCharType="begin"/>
      </w:r>
      <w:r>
        <w:instrText xml:space="preserve"> = 2 \* GB2 </w:instrText>
      </w:r>
      <w:r>
        <w:fldChar w:fldCharType="separate"/>
      </w:r>
      <w:r>
        <w:t>（2）</w:t>
      </w:r>
      <w:r>
        <w:fldChar w:fldCharType="end"/>
      </w:r>
      <w:r>
        <w:t>泄流曲线</w:t>
      </w:r>
    </w:p>
    <w:p>
      <w:pPr>
        <w:ind w:firstLine="480"/>
      </w:pPr>
      <w:r>
        <w:t>水库溢洪道型式为坝身溢流，堰顶高程为270.36m，坝身表孔堰型为实用堰，单孔溢流，溢流净宽36.8m，采用挑流消能，下游设有护坦，护坦总长为10m，宽35.136m。泄流曲线采用</w:t>
      </w:r>
      <w:r>
        <w:rPr>
          <w:rFonts w:hint="eastAsia"/>
        </w:rPr>
        <w:t>《工农</w:t>
      </w:r>
      <w:r>
        <w:t>水库大坝安全评价报告</w:t>
      </w:r>
      <w:r>
        <w:rPr>
          <w:rFonts w:hint="eastAsia"/>
        </w:rPr>
        <w:t>》</w:t>
      </w:r>
      <w:r>
        <w:t>（2020年7月精佳建设工程集团有限公司编制完成已批复）中的计算成果，溢流堰泄流曲线见表2.2-2。</w:t>
      </w:r>
    </w:p>
    <w:p>
      <w:pPr>
        <w:pStyle w:val="18"/>
        <w:rPr>
          <w:rFonts w:cs="Times New Roman"/>
        </w:rPr>
      </w:pPr>
      <w:r>
        <w:rPr>
          <w:rFonts w:cs="Times New Roman"/>
        </w:rPr>
        <w:t>表2.2-2  工农水库泄流曲线表</w:t>
      </w:r>
    </w:p>
    <w:tbl>
      <w:tblPr>
        <w:tblStyle w:val="10"/>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00"/>
        <w:gridCol w:w="2270"/>
        <w:gridCol w:w="2270"/>
        <w:gridCol w:w="22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62" w:type="pct"/>
            <w:vAlign w:val="center"/>
          </w:tcPr>
          <w:p>
            <w:pPr>
              <w:pStyle w:val="19"/>
              <w:rPr>
                <w:rFonts w:cs="Times New Roman"/>
              </w:rPr>
            </w:pPr>
            <w:r>
              <w:rPr>
                <w:rFonts w:cs="Times New Roman"/>
              </w:rPr>
              <w:t>水位（m）</w:t>
            </w:r>
          </w:p>
        </w:tc>
        <w:tc>
          <w:tcPr>
            <w:tcW w:w="1245" w:type="pct"/>
            <w:vAlign w:val="center"/>
          </w:tcPr>
          <w:p>
            <w:pPr>
              <w:pStyle w:val="19"/>
              <w:rPr>
                <w:rFonts w:cs="Times New Roman"/>
              </w:rPr>
            </w:pPr>
            <w:r>
              <w:rPr>
                <w:rFonts w:cs="Times New Roman"/>
              </w:rPr>
              <w:t>流量（m³/s）</w:t>
            </w:r>
          </w:p>
        </w:tc>
        <w:tc>
          <w:tcPr>
            <w:tcW w:w="1245" w:type="pct"/>
            <w:vAlign w:val="center"/>
          </w:tcPr>
          <w:p>
            <w:pPr>
              <w:pStyle w:val="19"/>
              <w:rPr>
                <w:rFonts w:cs="Times New Roman"/>
              </w:rPr>
            </w:pPr>
            <w:r>
              <w:rPr>
                <w:rFonts w:cs="Times New Roman"/>
              </w:rPr>
              <w:t>水位（m）</w:t>
            </w:r>
          </w:p>
        </w:tc>
        <w:tc>
          <w:tcPr>
            <w:tcW w:w="1246" w:type="pct"/>
            <w:vAlign w:val="center"/>
          </w:tcPr>
          <w:p>
            <w:pPr>
              <w:pStyle w:val="19"/>
              <w:rPr>
                <w:rFonts w:cs="Times New Roman"/>
              </w:rPr>
            </w:pPr>
            <w:r>
              <w:rPr>
                <w:rFonts w:cs="Times New Roman"/>
              </w:rPr>
              <w:t>流量（m³/s）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62" w:type="pct"/>
            <w:vAlign w:val="center"/>
          </w:tcPr>
          <w:p>
            <w:pPr>
              <w:pStyle w:val="19"/>
              <w:rPr>
                <w:rFonts w:cs="Times New Roman"/>
              </w:rPr>
            </w:pPr>
            <w:r>
              <w:rPr>
                <w:rFonts w:hint="eastAsia" w:cs="Times New Roman"/>
              </w:rPr>
              <w:t>270.36</w:t>
            </w:r>
          </w:p>
        </w:tc>
        <w:tc>
          <w:tcPr>
            <w:tcW w:w="1245" w:type="pct"/>
            <w:vAlign w:val="center"/>
          </w:tcPr>
          <w:p>
            <w:pPr>
              <w:pStyle w:val="19"/>
              <w:rPr>
                <w:rFonts w:cs="Times New Roman"/>
              </w:rPr>
            </w:pPr>
            <w:r>
              <w:rPr>
                <w:rFonts w:hint="eastAsia" w:cs="Times New Roman"/>
              </w:rPr>
              <w:t>0</w:t>
            </w:r>
          </w:p>
        </w:tc>
        <w:tc>
          <w:tcPr>
            <w:tcW w:w="1245" w:type="pct"/>
            <w:vAlign w:val="center"/>
          </w:tcPr>
          <w:p>
            <w:pPr>
              <w:pStyle w:val="19"/>
              <w:rPr>
                <w:rFonts w:cs="Times New Roman"/>
              </w:rPr>
            </w:pPr>
            <w:r>
              <w:rPr>
                <w:rFonts w:hint="eastAsia" w:cs="Times New Roman"/>
              </w:rPr>
              <w:t>271.86</w:t>
            </w:r>
          </w:p>
        </w:tc>
        <w:tc>
          <w:tcPr>
            <w:tcW w:w="1246" w:type="pct"/>
            <w:vAlign w:val="center"/>
          </w:tcPr>
          <w:p>
            <w:pPr>
              <w:pStyle w:val="19"/>
              <w:rPr>
                <w:rFonts w:cs="Times New Roman"/>
              </w:rPr>
            </w:pPr>
            <w:r>
              <w:rPr>
                <w:rFonts w:hint="eastAsia" w:cs="Times New Roman"/>
              </w:rPr>
              <w:t>210.49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62" w:type="pct"/>
            <w:vAlign w:val="center"/>
          </w:tcPr>
          <w:p>
            <w:pPr>
              <w:pStyle w:val="19"/>
              <w:rPr>
                <w:rFonts w:cs="Times New Roman"/>
              </w:rPr>
            </w:pPr>
            <w:r>
              <w:rPr>
                <w:rFonts w:hint="eastAsia" w:cs="Times New Roman"/>
              </w:rPr>
              <w:t>270.66</w:t>
            </w:r>
          </w:p>
        </w:tc>
        <w:tc>
          <w:tcPr>
            <w:tcW w:w="1245" w:type="pct"/>
            <w:vAlign w:val="center"/>
          </w:tcPr>
          <w:p>
            <w:pPr>
              <w:pStyle w:val="19"/>
              <w:rPr>
                <w:rFonts w:cs="Times New Roman"/>
              </w:rPr>
            </w:pPr>
            <w:r>
              <w:rPr>
                <w:rFonts w:hint="eastAsia" w:cs="Times New Roman"/>
              </w:rPr>
              <w:t>18.82</w:t>
            </w:r>
          </w:p>
        </w:tc>
        <w:tc>
          <w:tcPr>
            <w:tcW w:w="1245" w:type="pct"/>
            <w:vAlign w:val="center"/>
          </w:tcPr>
          <w:p>
            <w:pPr>
              <w:pStyle w:val="19"/>
              <w:rPr>
                <w:rFonts w:cs="Times New Roman"/>
              </w:rPr>
            </w:pPr>
            <w:r>
              <w:rPr>
                <w:rFonts w:hint="eastAsia" w:cs="Times New Roman"/>
              </w:rPr>
              <w:t>272.16</w:t>
            </w:r>
          </w:p>
        </w:tc>
        <w:tc>
          <w:tcPr>
            <w:tcW w:w="1246" w:type="pct"/>
            <w:vAlign w:val="center"/>
          </w:tcPr>
          <w:p>
            <w:pPr>
              <w:pStyle w:val="19"/>
              <w:rPr>
                <w:rFonts w:cs="Times New Roman"/>
              </w:rPr>
            </w:pPr>
            <w:r>
              <w:rPr>
                <w:rFonts w:hint="eastAsia" w:cs="Times New Roman"/>
              </w:rPr>
              <w:t>271.81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62" w:type="pct"/>
            <w:vAlign w:val="center"/>
          </w:tcPr>
          <w:p>
            <w:pPr>
              <w:pStyle w:val="19"/>
              <w:rPr>
                <w:rFonts w:cs="Times New Roman"/>
              </w:rPr>
            </w:pPr>
            <w:r>
              <w:rPr>
                <w:rFonts w:hint="eastAsia" w:cs="Times New Roman"/>
              </w:rPr>
              <w:t>270.96</w:t>
            </w:r>
          </w:p>
        </w:tc>
        <w:tc>
          <w:tcPr>
            <w:tcW w:w="1245" w:type="pct"/>
            <w:vAlign w:val="center"/>
          </w:tcPr>
          <w:p>
            <w:pPr>
              <w:pStyle w:val="19"/>
              <w:rPr>
                <w:rFonts w:cs="Times New Roman"/>
              </w:rPr>
            </w:pPr>
            <w:r>
              <w:rPr>
                <w:rFonts w:hint="eastAsia" w:cs="Times New Roman"/>
              </w:rPr>
              <w:t>53.23</w:t>
            </w:r>
          </w:p>
        </w:tc>
        <w:tc>
          <w:tcPr>
            <w:tcW w:w="1245" w:type="pct"/>
            <w:vAlign w:val="center"/>
          </w:tcPr>
          <w:p>
            <w:pPr>
              <w:pStyle w:val="19"/>
              <w:rPr>
                <w:rFonts w:cs="Times New Roman"/>
              </w:rPr>
            </w:pPr>
            <w:r>
              <w:rPr>
                <w:rFonts w:hint="eastAsia" w:cs="Times New Roman"/>
              </w:rPr>
              <w:t>272.46</w:t>
            </w:r>
          </w:p>
        </w:tc>
        <w:tc>
          <w:tcPr>
            <w:tcW w:w="1246" w:type="pct"/>
            <w:vAlign w:val="center"/>
          </w:tcPr>
          <w:p>
            <w:pPr>
              <w:pStyle w:val="19"/>
              <w:rPr>
                <w:rFonts w:cs="Times New Roman"/>
              </w:rPr>
            </w:pPr>
            <w:r>
              <w:rPr>
                <w:rFonts w:hint="eastAsia" w:cs="Times New Roman"/>
              </w:rPr>
              <w:t>348.63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62" w:type="pct"/>
            <w:vAlign w:val="center"/>
          </w:tcPr>
          <w:p>
            <w:pPr>
              <w:pStyle w:val="19"/>
              <w:rPr>
                <w:rFonts w:cs="Times New Roman"/>
              </w:rPr>
            </w:pPr>
            <w:r>
              <w:rPr>
                <w:rFonts w:hint="eastAsia" w:cs="Times New Roman"/>
              </w:rPr>
              <w:t>271.26</w:t>
            </w:r>
          </w:p>
        </w:tc>
        <w:tc>
          <w:tcPr>
            <w:tcW w:w="1245" w:type="pct"/>
            <w:vAlign w:val="center"/>
          </w:tcPr>
          <w:p>
            <w:pPr>
              <w:pStyle w:val="19"/>
              <w:rPr>
                <w:rFonts w:cs="Times New Roman"/>
              </w:rPr>
            </w:pPr>
            <w:r>
              <w:rPr>
                <w:rFonts w:hint="eastAsia" w:cs="Times New Roman"/>
              </w:rPr>
              <w:t>97.72</w:t>
            </w:r>
          </w:p>
        </w:tc>
        <w:tc>
          <w:tcPr>
            <w:tcW w:w="1245" w:type="pct"/>
            <w:vAlign w:val="center"/>
          </w:tcPr>
          <w:p>
            <w:pPr>
              <w:pStyle w:val="19"/>
              <w:rPr>
                <w:rFonts w:cs="Times New Roman"/>
              </w:rPr>
            </w:pPr>
            <w:r>
              <w:rPr>
                <w:rFonts w:hint="eastAsia" w:cs="Times New Roman"/>
              </w:rPr>
              <w:t>272.76</w:t>
            </w:r>
          </w:p>
        </w:tc>
        <w:tc>
          <w:tcPr>
            <w:tcW w:w="1246" w:type="pct"/>
            <w:vAlign w:val="center"/>
          </w:tcPr>
          <w:p>
            <w:pPr>
              <w:pStyle w:val="19"/>
              <w:rPr>
                <w:rFonts w:cs="Times New Roman"/>
              </w:rPr>
            </w:pPr>
            <w:r>
              <w:rPr>
                <w:rFonts w:hint="eastAsia" w:cs="Times New Roman"/>
              </w:rPr>
              <w:t>425.82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62" w:type="pct"/>
            <w:vAlign w:val="center"/>
          </w:tcPr>
          <w:p>
            <w:pPr>
              <w:pStyle w:val="19"/>
              <w:rPr>
                <w:rFonts w:cs="Times New Roman"/>
              </w:rPr>
            </w:pPr>
            <w:r>
              <w:rPr>
                <w:rFonts w:hint="eastAsia" w:cs="Times New Roman"/>
              </w:rPr>
              <w:t>271.56</w:t>
            </w:r>
          </w:p>
        </w:tc>
        <w:tc>
          <w:tcPr>
            <w:tcW w:w="1245" w:type="pct"/>
            <w:vAlign w:val="center"/>
          </w:tcPr>
          <w:p>
            <w:pPr>
              <w:pStyle w:val="19"/>
              <w:rPr>
                <w:rFonts w:cs="Times New Roman"/>
              </w:rPr>
            </w:pPr>
            <w:r>
              <w:rPr>
                <w:rFonts w:hint="eastAsia" w:cs="Times New Roman"/>
              </w:rPr>
              <w:t>150.55</w:t>
            </w:r>
          </w:p>
        </w:tc>
        <w:tc>
          <w:tcPr>
            <w:tcW w:w="1245" w:type="pct"/>
            <w:vAlign w:val="center"/>
          </w:tcPr>
          <w:p>
            <w:pPr>
              <w:pStyle w:val="19"/>
              <w:rPr>
                <w:rFonts w:cs="Times New Roman"/>
              </w:rPr>
            </w:pPr>
            <w:r>
              <w:rPr>
                <w:rFonts w:hint="eastAsia" w:cs="Times New Roman"/>
              </w:rPr>
              <w:t>273.06</w:t>
            </w:r>
          </w:p>
        </w:tc>
        <w:tc>
          <w:tcPr>
            <w:tcW w:w="1246" w:type="pct"/>
            <w:vAlign w:val="center"/>
          </w:tcPr>
          <w:p>
            <w:pPr>
              <w:pStyle w:val="19"/>
              <w:rPr>
                <w:rFonts w:cs="Times New Roman"/>
              </w:rPr>
            </w:pPr>
            <w:r>
              <w:rPr>
                <w:rFonts w:hint="eastAsia" w:cs="Times New Roman"/>
              </w:rPr>
              <w:t>508.00</w:t>
            </w:r>
          </w:p>
        </w:tc>
      </w:tr>
    </w:tbl>
    <w:p>
      <w:pPr>
        <w:pStyle w:val="4"/>
        <w:spacing w:before="120" w:after="120"/>
      </w:pPr>
      <w:r>
        <w:t>2.2.3工程安全现状</w:t>
      </w:r>
    </w:p>
    <w:p>
      <w:pPr>
        <w:ind w:firstLine="480"/>
      </w:pPr>
      <w:r>
        <w:t>（1）建设及除险加固情况</w:t>
      </w:r>
    </w:p>
    <w:p>
      <w:pPr>
        <w:ind w:firstLine="480"/>
      </w:pPr>
      <w:r>
        <w:t>据资料记载，工农水库大坝于1971年9月动工兴建，到1973年2月停工，1974年进行续建加高大坝0.9m，1976年进行续建加固设计，1977年8月基本建成。重庆市渝南水利电力建筑勘测设计院于2007年2月根据中华人民共和国水利部发布的《水库大坝安全评价导则》中大坝安全综合评价规定，对工农水库进行了大坝安全评价，水库大坝确定为三类坝。2008年2月底重庆市渝南水利电力建筑勘测设计院编制了《重庆市沙坪坝区工农水库除险加固工程初步设计报告》。2008年9月，重庆市渝南水利电力建筑勘测设计院完成了《重庆市沙坪坝区工农水库除险加固工程施工设计图》，2009年工农水库进行了水库整治，其整治内容如下：采用M10浆砌条石加厚坝体，上游坝面采用打插筋挂钢筋网锚喷防渗，溢洪道拆除重建，新建WES曲线型实用堰，消能方式为挑流消能，新建C25砼护坦，沿坝轴线对大坝坝体充填灌浆，对大坝坝基渗漏采用帷幕灌浆处理，在大坝下游侧固结灌浆、将已锈蚀严重的放水闸拆除重建，新建放水塔放水，新建管理房。随后动工修建，除险加固工程竣工后大坝运行状态良好，除险加固整治基本完善了水库各项设施的正常功能，保证了水库的正常运行。</w:t>
      </w:r>
    </w:p>
    <w:p>
      <w:pPr>
        <w:ind w:firstLine="480"/>
      </w:pPr>
      <w:r>
        <w:t>（2）大坝安全鉴定情况</w:t>
      </w:r>
    </w:p>
    <w:p>
      <w:pPr>
        <w:ind w:firstLine="480"/>
      </w:pPr>
      <w:r>
        <w:t>根据《工农水库大坝安全鉴定报告书》（2020年7月），其安全鉴定结论为</w:t>
      </w:r>
      <w:r>
        <w:rPr>
          <w:rFonts w:hint="eastAsia"/>
        </w:rPr>
        <w:t>：</w:t>
      </w:r>
    </w:p>
    <w:p>
      <w:pPr>
        <w:ind w:firstLine="480"/>
      </w:pPr>
      <w:r>
        <w:t>1</w:t>
      </w:r>
      <w:r>
        <w:rPr>
          <w:rFonts w:hint="eastAsia"/>
        </w:rPr>
        <w:t>）</w:t>
      </w:r>
      <w:r>
        <w:t>工程质量评价</w:t>
      </w:r>
      <w:r>
        <w:rPr>
          <w:rFonts w:hint="eastAsia"/>
        </w:rPr>
        <w:t>：</w:t>
      </w:r>
      <w:r>
        <w:t>该水库工程质量综合评价为基本合格。</w:t>
      </w:r>
    </w:p>
    <w:p>
      <w:pPr>
        <w:ind w:firstLine="480"/>
      </w:pPr>
      <w:r>
        <w:t>2</w:t>
      </w:r>
      <w:r>
        <w:rPr>
          <w:rFonts w:hint="eastAsia"/>
        </w:rPr>
        <w:t>）</w:t>
      </w:r>
      <w:r>
        <w:t>运行管理评价</w:t>
      </w:r>
      <w:r>
        <w:rPr>
          <w:rFonts w:hint="eastAsia"/>
        </w:rPr>
        <w:t>：</w:t>
      </w:r>
      <w:r>
        <w:t>该水库运行管理综合评价为较规范。</w:t>
      </w:r>
    </w:p>
    <w:p>
      <w:pPr>
        <w:ind w:firstLine="480"/>
      </w:pPr>
      <w:r>
        <w:t>3</w:t>
      </w:r>
      <w:r>
        <w:rPr>
          <w:rFonts w:hint="eastAsia"/>
        </w:rPr>
        <w:t>）</w:t>
      </w:r>
      <w:r>
        <w:t>防洪标准复核</w:t>
      </w:r>
      <w:r>
        <w:rPr>
          <w:rFonts w:hint="eastAsia"/>
        </w:rPr>
        <w:t>：</w:t>
      </w:r>
      <w:r>
        <w:t>经复核现状坝顶高程高于本次复核坝顶高程，水库大坝防洪能力达到《防洪标准》</w:t>
      </w:r>
      <w:r>
        <w:rPr>
          <w:rFonts w:hint="eastAsia"/>
        </w:rPr>
        <w:t>（</w:t>
      </w:r>
      <w:r>
        <w:t>GB50201-2014</w:t>
      </w:r>
      <w:r>
        <w:rPr>
          <w:rFonts w:hint="eastAsia"/>
        </w:rPr>
        <w:t>）</w:t>
      </w:r>
      <w:r>
        <w:t>规定要求；水库泄洪建筑物的泄流能力满足安全泄洪的要求；按照《水库大坝安全评价导则》</w:t>
      </w:r>
      <w:r>
        <w:rPr>
          <w:rFonts w:hint="eastAsia"/>
        </w:rPr>
        <w:t>（</w:t>
      </w:r>
      <w:r>
        <w:t>SL258-2017</w:t>
      </w:r>
      <w:r>
        <w:rPr>
          <w:rFonts w:hint="eastAsia"/>
        </w:rPr>
        <w:t>）</w:t>
      </w:r>
      <w:r>
        <w:t>大坝抗洪安全性分级，该大坝抗洪安全性态评价为A级。</w:t>
      </w:r>
    </w:p>
    <w:p>
      <w:pPr>
        <w:ind w:firstLine="480"/>
      </w:pPr>
      <w:r>
        <w:t>4</w:t>
      </w:r>
      <w:r>
        <w:rPr>
          <w:rFonts w:hint="eastAsia"/>
        </w:rPr>
        <w:t>）</w:t>
      </w:r>
      <w:r>
        <w:t>结构安全评价</w:t>
      </w:r>
      <w:r>
        <w:rPr>
          <w:rFonts w:hint="eastAsia"/>
        </w:rPr>
        <w:t>：</w:t>
      </w:r>
      <w:r>
        <w:t>大坝应力及坝肩稳定满足规范要求；大坝左右岸基础稳定满足规范要求，库岸稳定；现场检查发现，溢洪道堰面及两侧边墩未出现开裂，垮塌情况，砌筑质量较好；护坦局部孔洞及冲刷，结构良好；大坝取水、放空建筑物结构完整，能正常运行。按照《水库大坝安全评价导则》</w:t>
      </w:r>
      <w:r>
        <w:rPr>
          <w:rFonts w:hint="eastAsia"/>
        </w:rPr>
        <w:t>（</w:t>
      </w:r>
      <w:r>
        <w:t>SL258-2017</w:t>
      </w:r>
      <w:r>
        <w:rPr>
          <w:rFonts w:hint="eastAsia"/>
        </w:rPr>
        <w:t>）</w:t>
      </w:r>
      <w:r>
        <w:t>土石坝结构安全性分级，大坝结构安全评定为A级。</w:t>
      </w:r>
    </w:p>
    <w:p>
      <w:pPr>
        <w:ind w:firstLine="480"/>
      </w:pPr>
      <w:r>
        <w:t>5</w:t>
      </w:r>
      <w:r>
        <w:rPr>
          <w:rFonts w:hint="eastAsia"/>
        </w:rPr>
        <w:t>）</w:t>
      </w:r>
      <w:r>
        <w:t>渗流安全评价</w:t>
      </w:r>
      <w:r>
        <w:rPr>
          <w:rFonts w:hint="eastAsia"/>
        </w:rPr>
        <w:t>：</w:t>
      </w:r>
      <w:r>
        <w:t>工农水库大坝主体运行至今，未发生过危及大坝安全的险情，但经多年运行，局部存在细微裂隙性渗水。主要表现为坝肩下游地表小凹坑处积水，未见明流。坝体下游坝面未见明显渗水点，但蓄水线以下坝体浸润明显，非溢流坝段坝后坡面大面积分布有青苔，部分砂浆勾缝处长开始出现杂草。溢洪道侧墙及底板完整性较好，未出现开裂及垮塌现象，运行正常，下游护坦出现局部孔洞及冲刷，但不影响其正常运行。工农水库放水建筑物结构完整，现场检查，放空钢管闸阀有轻微锈蚀的现象，局部闸阀密封圈老化，存在轻微渗漏现象。综合考虑，根据《水库大坝安全评价导则》</w:t>
      </w:r>
      <w:r>
        <w:rPr>
          <w:rFonts w:hint="eastAsia"/>
        </w:rPr>
        <w:t>（</w:t>
      </w:r>
      <w:r>
        <w:t>SL258-2017</w:t>
      </w:r>
      <w:r>
        <w:rPr>
          <w:rFonts w:hint="eastAsia"/>
        </w:rPr>
        <w:t>）</w:t>
      </w:r>
      <w:r>
        <w:t>规定，工农水库渗流安全评定为B级。</w:t>
      </w:r>
    </w:p>
    <w:p>
      <w:pPr>
        <w:ind w:firstLine="480"/>
      </w:pPr>
      <w:r>
        <w:t>6</w:t>
      </w:r>
      <w:r>
        <w:rPr>
          <w:rFonts w:hint="eastAsia"/>
        </w:rPr>
        <w:t>）</w:t>
      </w:r>
      <w:r>
        <w:t>地震安全评价</w:t>
      </w:r>
      <w:r>
        <w:rPr>
          <w:rFonts w:hint="eastAsia"/>
        </w:rPr>
        <w:t>：</w:t>
      </w:r>
      <w:r>
        <w:t>工程区地震动峰值加速度值为0.05g</w:t>
      </w:r>
      <w:r>
        <w:rPr>
          <w:rFonts w:hint="eastAsia"/>
        </w:rPr>
        <w:t>，</w:t>
      </w:r>
      <w:r>
        <w:t>相应地震基本烈度为VI度，因此，工程区属弱震地质环境，地震活动水平较低，区域构造稳定性良好。</w:t>
      </w:r>
    </w:p>
    <w:p>
      <w:pPr>
        <w:ind w:firstLine="480"/>
      </w:pPr>
      <w:r>
        <w:t>7</w:t>
      </w:r>
      <w:r>
        <w:rPr>
          <w:rFonts w:hint="eastAsia"/>
        </w:rPr>
        <w:t>）</w:t>
      </w:r>
      <w:r>
        <w:t>金属结构安全评价</w:t>
      </w:r>
      <w:r>
        <w:rPr>
          <w:rFonts w:hint="eastAsia"/>
        </w:rPr>
        <w:t>：</w:t>
      </w:r>
      <w:r>
        <w:t>本枢纽工程无金属结构，不存在金属结构安全问题。</w:t>
      </w:r>
    </w:p>
    <w:p>
      <w:pPr>
        <w:ind w:firstLine="480"/>
      </w:pPr>
      <w:r>
        <w:t>综上所述，按照《水库大坝安全评价导则》</w:t>
      </w:r>
      <w:r>
        <w:rPr>
          <w:rFonts w:hint="eastAsia"/>
        </w:rPr>
        <w:t>（</w:t>
      </w:r>
      <w:r>
        <w:t>SL258-2017</w:t>
      </w:r>
      <w:r>
        <w:rPr>
          <w:rFonts w:hint="eastAsia"/>
        </w:rPr>
        <w:t>）</w:t>
      </w:r>
      <w:r>
        <w:t>规定的安全性分级标准及安全分类原则，综合评价该水库大坝为二类坝，可在加强监控下运行。</w:t>
      </w:r>
    </w:p>
    <w:p>
      <w:pPr>
        <w:ind w:firstLine="480"/>
      </w:pPr>
      <w:r>
        <w:t>（</w:t>
      </w:r>
      <w:r>
        <w:rPr>
          <w:rFonts w:hint="eastAsia"/>
        </w:rPr>
        <w:t>3</w:t>
      </w:r>
      <w:r>
        <w:t>）不按二类坝限制蓄水的可行性</w:t>
      </w:r>
    </w:p>
    <w:p>
      <w:pPr>
        <w:ind w:firstLine="480"/>
        <w:rPr>
          <w:spacing w:val="6"/>
        </w:rPr>
      </w:pPr>
      <w:r>
        <w:t>根据《工农水库大坝安全鉴定报告书》（2020年7月），</w:t>
      </w:r>
      <w:r>
        <w:rPr>
          <w:rFonts w:hint="eastAsia"/>
        </w:rPr>
        <w:t>工农水库大坝评定为</w:t>
      </w:r>
      <w:r>
        <w:t>二类坝</w:t>
      </w:r>
      <w:r>
        <w:rPr>
          <w:rFonts w:hint="eastAsia"/>
        </w:rPr>
        <w:t>主要原因在于：</w:t>
      </w:r>
      <w:r>
        <w:t>坝基及坝肩局部存在细微裂隙性渗水</w:t>
      </w:r>
      <w:r>
        <w:rPr>
          <w:rFonts w:hint="eastAsia"/>
        </w:rPr>
        <w:t>，</w:t>
      </w:r>
      <w:r>
        <w:t>主要表现为坝肩下游地表小凹坑处积水，未见明流</w:t>
      </w:r>
      <w:r>
        <w:rPr>
          <w:rFonts w:hint="eastAsia"/>
        </w:rPr>
        <w:t>；</w:t>
      </w:r>
      <w:r>
        <w:t>坝体下游坝面未见明显渗水点，但蓄水线以下坝体浸润明显</w:t>
      </w:r>
      <w:r>
        <w:rPr>
          <w:rFonts w:hint="eastAsia"/>
        </w:rPr>
        <w:t>；</w:t>
      </w:r>
      <w:r>
        <w:t>放空措施</w:t>
      </w:r>
      <w:r>
        <w:rPr>
          <w:spacing w:val="6"/>
        </w:rPr>
        <w:t>局部闸阀密封圈老化，存在轻微渗漏现象。</w:t>
      </w:r>
    </w:p>
    <w:p>
      <w:pPr>
        <w:ind w:firstLine="504"/>
        <w:rPr>
          <w:spacing w:val="6"/>
        </w:rPr>
      </w:pPr>
      <w:r>
        <w:rPr>
          <w:rFonts w:hint="eastAsia"/>
          <w:spacing w:val="6"/>
        </w:rPr>
        <w:t>工农水库大坝为</w:t>
      </w:r>
      <w:r>
        <w:t>浆砌石拱坝</w:t>
      </w:r>
      <w:r>
        <w:rPr>
          <w:rFonts w:hint="eastAsia"/>
        </w:rPr>
        <w:t>，上述</w:t>
      </w:r>
      <w:r>
        <w:rPr>
          <w:spacing w:val="6"/>
        </w:rPr>
        <w:t>轻微渗漏现象</w:t>
      </w:r>
      <w:r>
        <w:rPr>
          <w:rFonts w:hint="eastAsia"/>
          <w:spacing w:val="6"/>
        </w:rPr>
        <w:t>不会对大坝结构安全以及正常运行造成较大影响，因此暂未按</w:t>
      </w:r>
      <w:r>
        <w:t>二类坝</w:t>
      </w:r>
      <w:r>
        <w:rPr>
          <w:rFonts w:hint="eastAsia"/>
        </w:rPr>
        <w:t>管理要求</w:t>
      </w:r>
      <w:r>
        <w:t>限制蓄水</w:t>
      </w:r>
      <w:r>
        <w:rPr>
          <w:rFonts w:hint="eastAsia"/>
        </w:rPr>
        <w:t>。</w:t>
      </w:r>
    </w:p>
    <w:p>
      <w:pPr>
        <w:pStyle w:val="3"/>
        <w:spacing w:before="120" w:after="120"/>
      </w:pPr>
      <w:bookmarkStart w:id="22" w:name="_Toc14303"/>
      <w:r>
        <w:t>2.3水文</w:t>
      </w:r>
      <w:bookmarkEnd w:id="22"/>
    </w:p>
    <w:p>
      <w:pPr>
        <w:pStyle w:val="4"/>
        <w:spacing w:before="120" w:after="120"/>
      </w:pPr>
      <w:r>
        <w:t>2.3.1暴雨洪水特征</w:t>
      </w:r>
    </w:p>
    <w:p>
      <w:pPr>
        <w:ind w:firstLine="480"/>
      </w:pPr>
      <w:r>
        <w:t>工农水库位于长江上游流域东亚副热带季风区，属于中亚热带湿润季风气候，由于西南季风和东南季风均可长驱直入，成为季风频繁活动的场所。入夏以来，副高北进西伸，西南季风盛行，将孟加拉湾和南海的暖湿空气大量输送到四川盆地，西风环流不断有小槽东移，加上贝加尔湖大槽分裂的冷空气不断南下与西南暖湿气流频频交绥，南北风场气旋切变明显，同时，由于局部地形的屏障作用，有利于水汽输送和抬升，在强烈的复合作用下，易形成暴雨、大暴雨以致特大暴雨。因此，形成本流域的暴雨天气系统主要为西南低涡、江淮切变线，其次是地面冷锋和低空急流等。</w:t>
      </w:r>
    </w:p>
    <w:p>
      <w:pPr>
        <w:ind w:firstLine="480"/>
      </w:pPr>
      <w:r>
        <w:t>工农水库枢纽工程洪水由暴雨形成，大暴雨主要集中在七、八月，历时一般一天左右，以一日暴雨强度最大，往往雨区移动方向与河流走向一致，且上游干支流洪水严重遭遇，常常形成特大洪水，如1998年的洪水和1981年的暴雨洪水。由于降雨年内分配不均，洪水发生季节与暴雨相适应，且流域地处丘陵区，故洪水陡涨陡落、过程线呈现尖瘦形，具有山溪洪水特点。</w:t>
      </w:r>
    </w:p>
    <w:p>
      <w:pPr>
        <w:ind w:firstLine="480"/>
      </w:pPr>
      <w:r>
        <w:t>洪水特点是：暴雨集中、强度大、汇流时间短，天然河槽无调蓄能力，因此洪水具有暴涨暴落的山区型河流特点。一次洪水过程一般为尖瘦的单峰型。</w:t>
      </w:r>
    </w:p>
    <w:p>
      <w:pPr>
        <w:pStyle w:val="4"/>
        <w:spacing w:before="120" w:after="120"/>
      </w:pPr>
      <w:r>
        <w:t>2.3.2水库所在流域水文测站分布</w:t>
      </w:r>
    </w:p>
    <w:p>
      <w:pPr>
        <w:ind w:firstLine="480"/>
      </w:pPr>
      <w:r>
        <w:t>沙坪坝区流域内无水文测站，邻近小安溪流域设有双石桥水文站，控制集雨面积246km²，观测项目有水位、流量、降水等，该站1999年停止观测，共有1976-1980年、1988-1999年共17年流量观测资料；2004年在双石桥水文站下游设立虎峰水文站，控制集雨面积765km²，观测项目有水位、流量、降水等，两站资料按规范整编，成果可靠，经复核，可供使用。经分析，梁滩河流域与双石桥水文站所在流域在自然地理、气象、水文特性方面具有一定的相似性，也可以作为参证站。</w:t>
      </w:r>
    </w:p>
    <w:p>
      <w:pPr>
        <w:ind w:firstLine="480"/>
      </w:pPr>
      <w:r>
        <w:t>工程流域地处内陆，雨量站点分布稀少，境内中部设有沙坪坝、中梁站、曾家站、回龙坝站、陈家桥站等雨量站，西南侧小安溪流域设有双石桥水文站，沙坪坝气象站距离工程流域直线距离18km左右，此站有1981~2019年的长短历时降水观测资料，系列长，精度高。因此可选用沙坪坝气象站作为工程流域洪水分析计算的代表站。</w:t>
      </w:r>
    </w:p>
    <w:p>
      <w:pPr>
        <w:pStyle w:val="4"/>
        <w:spacing w:before="120" w:after="120"/>
      </w:pPr>
      <w:r>
        <w:t>2.3.3</w:t>
      </w:r>
      <w:r>
        <w:rPr>
          <w:rFonts w:hint="eastAsia"/>
        </w:rPr>
        <w:t>水文</w:t>
      </w:r>
      <w:r>
        <w:t>观测项目</w:t>
      </w:r>
    </w:p>
    <w:p>
      <w:pPr>
        <w:ind w:firstLine="480"/>
      </w:pPr>
      <w:r>
        <w:t>工农水库在大坝上设有水位标尺和雨量计，可随时掌握水库水位和降雨量变化情况。气象预报主要以查看沙坪坝区气象局发布天气为主，如遇较大降雨过程，沙坪坝区气象局下发水情简报给</w:t>
      </w:r>
      <w:r>
        <w:rPr>
          <w:rFonts w:hint="eastAsia"/>
        </w:rPr>
        <w:t>工农水库</w:t>
      </w:r>
      <w:r>
        <w:t>。</w:t>
      </w:r>
    </w:p>
    <w:tbl>
      <w:tblPr>
        <w:tblStyle w:val="10"/>
        <w:tblW w:w="0" w:type="auto"/>
        <w:jc w:val="center"/>
        <w:tblLayout w:type="autofit"/>
        <w:tblCellMar>
          <w:top w:w="0" w:type="dxa"/>
          <w:left w:w="108" w:type="dxa"/>
          <w:bottom w:w="0" w:type="dxa"/>
          <w:right w:w="108" w:type="dxa"/>
        </w:tblCellMar>
      </w:tblPr>
      <w:tblGrid>
        <w:gridCol w:w="9117"/>
      </w:tblGrid>
      <w:tr>
        <w:tblPrEx>
          <w:tblCellMar>
            <w:top w:w="0" w:type="dxa"/>
            <w:left w:w="108" w:type="dxa"/>
            <w:bottom w:w="0" w:type="dxa"/>
            <w:right w:w="108" w:type="dxa"/>
          </w:tblCellMar>
        </w:tblPrEx>
        <w:trPr>
          <w:jc w:val="center"/>
        </w:trPr>
        <w:tc>
          <w:tcPr>
            <w:tcW w:w="9117" w:type="dxa"/>
            <w:shd w:val="clear" w:color="auto" w:fill="auto"/>
          </w:tcPr>
          <w:p>
            <w:pPr>
              <w:pStyle w:val="19"/>
              <w:rPr>
                <w:sz w:val="24"/>
                <w:szCs w:val="24"/>
              </w:rPr>
            </w:pPr>
            <w:r>
              <w:rPr>
                <w:sz w:val="24"/>
                <w:szCs w:val="24"/>
              </w:rPr>
              <w:drawing>
                <wp:inline distT="0" distB="0" distL="114300" distR="114300">
                  <wp:extent cx="5638800" cy="2533650"/>
                  <wp:effectExtent l="0" t="0" r="0" b="0"/>
                  <wp:docPr id="78" name="图片 4" descr="IMG_20230326_1417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4" descr="IMG_20230326_141727"/>
                          <pic:cNvPicPr>
                            <a:picLocks noChangeAspect="true"/>
                          </pic:cNvPicPr>
                        </pic:nvPicPr>
                        <pic:blipFill>
                          <a:blip r:embed="rId17"/>
                          <a:stretch>
                            <a:fillRect/>
                          </a:stretch>
                        </pic:blipFill>
                        <pic:spPr>
                          <a:xfrm>
                            <a:off x="0" y="0"/>
                            <a:ext cx="5638800" cy="253365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9117" w:type="dxa"/>
            <w:shd w:val="clear" w:color="auto" w:fill="auto"/>
          </w:tcPr>
          <w:p>
            <w:pPr>
              <w:pStyle w:val="19"/>
              <w:rPr>
                <w:sz w:val="24"/>
                <w:szCs w:val="24"/>
              </w:rPr>
            </w:pPr>
            <w:r>
              <w:rPr>
                <w:rFonts w:cs="Times New Roman"/>
                <w:b/>
                <w:bCs/>
                <w:sz w:val="24"/>
                <w:szCs w:val="24"/>
              </w:rPr>
              <w:t>图2.</w:t>
            </w:r>
            <w:r>
              <w:rPr>
                <w:rFonts w:hint="eastAsia" w:cs="Times New Roman"/>
                <w:b/>
                <w:bCs/>
                <w:sz w:val="24"/>
                <w:szCs w:val="24"/>
              </w:rPr>
              <w:t>3</w:t>
            </w:r>
            <w:r>
              <w:rPr>
                <w:rFonts w:cs="Times New Roman"/>
                <w:b/>
                <w:bCs/>
                <w:sz w:val="24"/>
                <w:szCs w:val="24"/>
              </w:rPr>
              <w:t xml:space="preserve">-1  </w:t>
            </w:r>
            <w:r>
              <w:rPr>
                <w:rFonts w:hint="eastAsia" w:cs="Times New Roman"/>
                <w:b/>
                <w:bCs/>
                <w:sz w:val="24"/>
                <w:szCs w:val="24"/>
              </w:rPr>
              <w:t>工农</w:t>
            </w:r>
            <w:r>
              <w:rPr>
                <w:rFonts w:cs="Times New Roman"/>
                <w:b/>
                <w:bCs/>
                <w:sz w:val="24"/>
                <w:szCs w:val="24"/>
              </w:rPr>
              <w:t>水库大坝</w:t>
            </w:r>
            <w:r>
              <w:rPr>
                <w:rFonts w:hint="eastAsia" w:cs="Times New Roman"/>
                <w:b/>
                <w:bCs/>
                <w:sz w:val="24"/>
                <w:szCs w:val="24"/>
              </w:rPr>
              <w:t>水位标尺</w:t>
            </w:r>
          </w:p>
        </w:tc>
      </w:tr>
      <w:tr>
        <w:tblPrEx>
          <w:tblCellMar>
            <w:top w:w="0" w:type="dxa"/>
            <w:left w:w="108" w:type="dxa"/>
            <w:bottom w:w="0" w:type="dxa"/>
            <w:right w:w="108" w:type="dxa"/>
          </w:tblCellMar>
        </w:tblPrEx>
        <w:trPr>
          <w:jc w:val="center"/>
        </w:trPr>
        <w:tc>
          <w:tcPr>
            <w:tcW w:w="9117" w:type="dxa"/>
            <w:shd w:val="clear" w:color="auto" w:fill="auto"/>
          </w:tcPr>
          <w:p>
            <w:pPr>
              <w:pStyle w:val="19"/>
              <w:rPr>
                <w:rFonts w:cs="Times New Roman"/>
                <w:b/>
                <w:bCs/>
                <w:sz w:val="24"/>
                <w:szCs w:val="24"/>
              </w:rPr>
            </w:pPr>
            <w:r>
              <w:rPr>
                <w:sz w:val="24"/>
                <w:szCs w:val="24"/>
              </w:rPr>
              <w:drawing>
                <wp:inline distT="0" distB="0" distL="114300" distR="114300">
                  <wp:extent cx="5638800" cy="2533650"/>
                  <wp:effectExtent l="0" t="0" r="0" b="0"/>
                  <wp:docPr id="79" name="图片 5" descr="IMG_20230326_1415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5" descr="IMG_20230326_141540"/>
                          <pic:cNvPicPr>
                            <a:picLocks noChangeAspect="true"/>
                          </pic:cNvPicPr>
                        </pic:nvPicPr>
                        <pic:blipFill>
                          <a:blip r:embed="rId18"/>
                          <a:stretch>
                            <a:fillRect/>
                          </a:stretch>
                        </pic:blipFill>
                        <pic:spPr>
                          <a:xfrm>
                            <a:off x="0" y="0"/>
                            <a:ext cx="5638800" cy="253365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9117" w:type="dxa"/>
            <w:shd w:val="clear" w:color="auto" w:fill="auto"/>
          </w:tcPr>
          <w:p>
            <w:pPr>
              <w:pStyle w:val="19"/>
              <w:rPr>
                <w:sz w:val="24"/>
                <w:szCs w:val="24"/>
              </w:rPr>
            </w:pPr>
            <w:r>
              <w:rPr>
                <w:rFonts w:cs="Times New Roman"/>
                <w:b/>
                <w:bCs/>
                <w:sz w:val="24"/>
                <w:szCs w:val="24"/>
              </w:rPr>
              <w:t>图2.</w:t>
            </w:r>
            <w:r>
              <w:rPr>
                <w:rFonts w:hint="eastAsia" w:cs="Times New Roman"/>
                <w:b/>
                <w:bCs/>
                <w:sz w:val="24"/>
                <w:szCs w:val="24"/>
              </w:rPr>
              <w:t>3</w:t>
            </w:r>
            <w:r>
              <w:rPr>
                <w:rFonts w:cs="Times New Roman"/>
                <w:b/>
                <w:bCs/>
                <w:sz w:val="24"/>
                <w:szCs w:val="24"/>
              </w:rPr>
              <w:t>-</w:t>
            </w:r>
            <w:r>
              <w:rPr>
                <w:rFonts w:hint="eastAsia" w:cs="Times New Roman"/>
                <w:b/>
                <w:bCs/>
                <w:sz w:val="24"/>
                <w:szCs w:val="24"/>
              </w:rPr>
              <w:t>2</w:t>
            </w:r>
            <w:r>
              <w:rPr>
                <w:rFonts w:cs="Times New Roman"/>
                <w:b/>
                <w:bCs/>
                <w:sz w:val="24"/>
                <w:szCs w:val="24"/>
              </w:rPr>
              <w:t xml:space="preserve">  </w:t>
            </w:r>
            <w:r>
              <w:rPr>
                <w:rFonts w:hint="eastAsia" w:cs="Times New Roman"/>
                <w:b/>
                <w:bCs/>
                <w:sz w:val="24"/>
                <w:szCs w:val="24"/>
              </w:rPr>
              <w:t>工农</w:t>
            </w:r>
            <w:r>
              <w:rPr>
                <w:rFonts w:cs="Times New Roman"/>
                <w:b/>
                <w:bCs/>
                <w:sz w:val="24"/>
                <w:szCs w:val="24"/>
              </w:rPr>
              <w:t>水库大坝雨量</w:t>
            </w:r>
            <w:r>
              <w:rPr>
                <w:rFonts w:hint="eastAsia" w:cs="Times New Roman"/>
                <w:b/>
                <w:bCs/>
                <w:sz w:val="24"/>
                <w:szCs w:val="24"/>
              </w:rPr>
              <w:t>设施</w:t>
            </w:r>
          </w:p>
        </w:tc>
      </w:tr>
    </w:tbl>
    <w:p>
      <w:pPr>
        <w:pStyle w:val="4"/>
        <w:spacing w:before="120" w:after="120"/>
      </w:pPr>
      <w:r>
        <w:t>2.3.4洪水预报方案及精度评定</w:t>
      </w:r>
    </w:p>
    <w:p>
      <w:pPr>
        <w:ind w:firstLine="480"/>
      </w:pPr>
      <w:r>
        <w:t>开展水库洪水预报工作，目的是预测短、中、长期河道洪水的发生与变化趋势，是水库防汛和防洪系统调度运用的决策依据，为水资源的合理利用和保护，水库工程的管理运用及业的安全生产服务，为上下游企事业单位的正常生产生活、居民的生命财产安全提供水情保障，突发大洪水时能及时撤离，避免许多不必要的损失，因此，开展水库的洪水预报工作是非常有必要的。目前工农水库没有中长期洪水预报工作，水库的预报和报讯方式主要是以下几种：</w:t>
      </w:r>
    </w:p>
    <w:p>
      <w:pPr>
        <w:ind w:firstLine="480"/>
      </w:pPr>
      <w:r>
        <w:t>（1）气象预报</w:t>
      </w:r>
    </w:p>
    <w:p>
      <w:pPr>
        <w:ind w:firstLine="480"/>
      </w:pPr>
      <w:r>
        <w:t>气象预报主要以查看沙坪坝区气象局发布天气为主，如遇较大降雨过程，沙坪坝区气象局下发水情简报给工农水库。</w:t>
      </w:r>
    </w:p>
    <w:p>
      <w:pPr>
        <w:ind w:firstLine="480"/>
      </w:pPr>
      <w:r>
        <w:t>（2）报讯方式</w:t>
      </w:r>
    </w:p>
    <w:p>
      <w:pPr>
        <w:ind w:firstLine="480"/>
      </w:pPr>
      <w:r>
        <w:t>水库报讯方式以主要报告水库当前水位及单位小时水位涨幅、已观测到的暴雨量级及历时为主，一般通过电话和计算机广域网发布。</w:t>
      </w:r>
    </w:p>
    <w:p>
      <w:pPr>
        <w:ind w:firstLine="480"/>
      </w:pPr>
      <w:r>
        <w:t>（3）水情预报</w:t>
      </w:r>
    </w:p>
    <w:p>
      <w:pPr>
        <w:ind w:firstLine="480"/>
      </w:pPr>
      <w:r>
        <w:t>水库水情预报的项目包括入库洪峰、洪量、洪水过程、水库最高水位、最大泄量等。水库未设置水情测报系统，水情信息来源于天气预报、沙坪坝区气象站以及水库自身雨量站监测的数据。</w:t>
      </w:r>
    </w:p>
    <w:p>
      <w:pPr>
        <w:pStyle w:val="3"/>
        <w:spacing w:before="120" w:after="120"/>
      </w:pPr>
      <w:bookmarkStart w:id="23" w:name="_Toc19683"/>
      <w:r>
        <w:t>2.4工程安全监测</w:t>
      </w:r>
      <w:bookmarkEnd w:id="23"/>
    </w:p>
    <w:p>
      <w:pPr>
        <w:ind w:firstLine="480"/>
      </w:pPr>
      <w:r>
        <w:t>根据现场踏勘情况，工农水库大坝已设置水文、雨量观测设施，已设置水平、垂直位移测点等监测设施</w:t>
      </w:r>
      <w:r>
        <w:rPr>
          <w:rFonts w:hint="eastAsia"/>
        </w:rPr>
        <w:t>，现状运行良好</w:t>
      </w:r>
      <w:r>
        <w:t>。主要监测设施为：表面变形点13个；但未对大坝位移、沉降等观测资料进行系统的整理与梳理，该水库大坝已按照相关规范规定建立定期监测制度，暂未形成有规律的监测数据记录进行存档。</w:t>
      </w:r>
    </w:p>
    <w:p>
      <w:pPr>
        <w:ind w:firstLine="0" w:firstLineChars="0"/>
        <w:jc w:val="center"/>
        <w:rPr>
          <w:b/>
          <w:bCs/>
        </w:rPr>
      </w:pPr>
      <w:r>
        <w:rPr>
          <w:rFonts w:hint="eastAsia"/>
          <w:b/>
          <w:bCs/>
        </w:rPr>
        <w:t>表2.4-1  工农水库安全检测设施设置及运行情况表</w:t>
      </w:r>
    </w:p>
    <w:tbl>
      <w:tblPr>
        <w:tblStyle w:val="1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200"/>
        <w:gridCol w:w="591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56" w:type="pct"/>
            <w:tcBorders>
              <w:tl2br w:val="nil"/>
              <w:tr2bl w:val="nil"/>
            </w:tcBorders>
            <w:vAlign w:val="center"/>
          </w:tcPr>
          <w:p>
            <w:pPr>
              <w:pStyle w:val="20"/>
            </w:pPr>
            <w:r>
              <w:rPr>
                <w:rFonts w:hint="eastAsia"/>
              </w:rPr>
              <w:t>类别</w:t>
            </w:r>
          </w:p>
        </w:tc>
        <w:tc>
          <w:tcPr>
            <w:tcW w:w="3243" w:type="pct"/>
            <w:tcBorders>
              <w:tl2br w:val="nil"/>
              <w:tr2bl w:val="nil"/>
            </w:tcBorders>
            <w:vAlign w:val="center"/>
          </w:tcPr>
          <w:p>
            <w:pPr>
              <w:pStyle w:val="20"/>
            </w:pPr>
            <w:r>
              <w:rPr>
                <w:rFonts w:hint="eastAsia"/>
              </w:rPr>
              <w:t>设置及运行情况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56" w:type="pct"/>
            <w:tcBorders>
              <w:tl2br w:val="nil"/>
              <w:tr2bl w:val="nil"/>
            </w:tcBorders>
            <w:vAlign w:val="center"/>
          </w:tcPr>
          <w:p>
            <w:pPr>
              <w:pStyle w:val="20"/>
            </w:pPr>
            <w:r>
              <w:t>变形监测设施</w:t>
            </w:r>
          </w:p>
        </w:tc>
        <w:tc>
          <w:tcPr>
            <w:tcW w:w="3243" w:type="pct"/>
            <w:tcBorders>
              <w:tl2br w:val="nil"/>
              <w:tr2bl w:val="nil"/>
            </w:tcBorders>
            <w:vAlign w:val="center"/>
          </w:tcPr>
          <w:p>
            <w:pPr>
              <w:pStyle w:val="20"/>
            </w:pPr>
            <w:r>
              <w:t>设置有水平、垂直位移监测设施，且能正常运行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56" w:type="pct"/>
            <w:tcBorders>
              <w:tl2br w:val="nil"/>
              <w:tr2bl w:val="nil"/>
            </w:tcBorders>
            <w:vAlign w:val="center"/>
          </w:tcPr>
          <w:p>
            <w:pPr>
              <w:pStyle w:val="20"/>
            </w:pPr>
            <w:r>
              <w:t>渗流及渗漏量监测设施</w:t>
            </w:r>
          </w:p>
        </w:tc>
        <w:tc>
          <w:tcPr>
            <w:tcW w:w="3243" w:type="pct"/>
            <w:tcBorders>
              <w:tl2br w:val="nil"/>
              <w:tr2bl w:val="nil"/>
            </w:tcBorders>
            <w:vAlign w:val="center"/>
          </w:tcPr>
          <w:p>
            <w:pPr>
              <w:pStyle w:val="20"/>
            </w:pPr>
            <w:r>
              <w:t>未设置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56" w:type="pct"/>
            <w:tcBorders>
              <w:tl2br w:val="nil"/>
              <w:tr2bl w:val="nil"/>
            </w:tcBorders>
            <w:vAlign w:val="center"/>
          </w:tcPr>
          <w:p>
            <w:pPr>
              <w:pStyle w:val="20"/>
            </w:pPr>
            <w:r>
              <w:t>应力应变监测设施</w:t>
            </w:r>
          </w:p>
        </w:tc>
        <w:tc>
          <w:tcPr>
            <w:tcW w:w="3243" w:type="pct"/>
            <w:tcBorders>
              <w:tl2br w:val="nil"/>
              <w:tr2bl w:val="nil"/>
            </w:tcBorders>
            <w:vAlign w:val="center"/>
          </w:tcPr>
          <w:p>
            <w:pPr>
              <w:pStyle w:val="20"/>
            </w:pPr>
            <w:r>
              <w:t>未设置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56" w:type="pct"/>
            <w:tcBorders>
              <w:tl2br w:val="nil"/>
              <w:tr2bl w:val="nil"/>
            </w:tcBorders>
            <w:vAlign w:val="center"/>
          </w:tcPr>
          <w:p>
            <w:pPr>
              <w:pStyle w:val="20"/>
            </w:pPr>
            <w:r>
              <w:t>温度监测设施</w:t>
            </w:r>
          </w:p>
        </w:tc>
        <w:tc>
          <w:tcPr>
            <w:tcW w:w="3243" w:type="pct"/>
            <w:tcBorders>
              <w:tl2br w:val="nil"/>
              <w:tr2bl w:val="nil"/>
            </w:tcBorders>
            <w:vAlign w:val="center"/>
          </w:tcPr>
          <w:p>
            <w:pPr>
              <w:pStyle w:val="20"/>
            </w:pPr>
            <w:r>
              <w:t>未设置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56" w:type="pct"/>
            <w:tcBorders>
              <w:tl2br w:val="nil"/>
              <w:tr2bl w:val="nil"/>
            </w:tcBorders>
            <w:vAlign w:val="center"/>
          </w:tcPr>
          <w:p>
            <w:pPr>
              <w:pStyle w:val="20"/>
            </w:pPr>
            <w:r>
              <w:t>地震监测设施</w:t>
            </w:r>
          </w:p>
        </w:tc>
        <w:tc>
          <w:tcPr>
            <w:tcW w:w="3243" w:type="pct"/>
            <w:tcBorders>
              <w:tl2br w:val="nil"/>
              <w:tr2bl w:val="nil"/>
            </w:tcBorders>
            <w:vAlign w:val="center"/>
          </w:tcPr>
          <w:p>
            <w:pPr>
              <w:pStyle w:val="20"/>
            </w:pPr>
            <w:r>
              <w:t>未设置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56" w:type="pct"/>
            <w:tcBorders>
              <w:tl2br w:val="nil"/>
              <w:tr2bl w:val="nil"/>
            </w:tcBorders>
            <w:vAlign w:val="center"/>
          </w:tcPr>
          <w:p>
            <w:pPr>
              <w:pStyle w:val="20"/>
            </w:pPr>
            <w:r>
              <w:t>环境量监测设施</w:t>
            </w:r>
          </w:p>
        </w:tc>
        <w:tc>
          <w:tcPr>
            <w:tcW w:w="3243" w:type="pct"/>
            <w:tcBorders>
              <w:tl2br w:val="nil"/>
              <w:tr2bl w:val="nil"/>
            </w:tcBorders>
            <w:vAlign w:val="center"/>
          </w:tcPr>
          <w:p>
            <w:pPr>
              <w:pStyle w:val="20"/>
            </w:pPr>
            <w:r>
              <w:t>设置有环境量监测设施，且能正常运行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1756" w:type="pct"/>
            <w:tcBorders>
              <w:tl2br w:val="nil"/>
              <w:tr2bl w:val="nil"/>
            </w:tcBorders>
            <w:vAlign w:val="center"/>
          </w:tcPr>
          <w:p>
            <w:pPr>
              <w:pStyle w:val="20"/>
            </w:pPr>
            <w:r>
              <w:t>其他监测设施</w:t>
            </w:r>
          </w:p>
        </w:tc>
        <w:tc>
          <w:tcPr>
            <w:tcW w:w="3243" w:type="pct"/>
            <w:tcBorders>
              <w:tl2br w:val="nil"/>
              <w:tr2bl w:val="nil"/>
            </w:tcBorders>
            <w:vAlign w:val="center"/>
          </w:tcPr>
          <w:p>
            <w:pPr>
              <w:pStyle w:val="20"/>
            </w:pPr>
            <w:r>
              <w:t>设置有单管式测压管监测扬压力，能正常运行</w:t>
            </w:r>
          </w:p>
        </w:tc>
      </w:tr>
    </w:tbl>
    <w:p>
      <w:pPr>
        <w:pStyle w:val="3"/>
        <w:spacing w:before="120" w:after="120"/>
      </w:pPr>
      <w:bookmarkStart w:id="24" w:name="_Toc27167"/>
      <w:r>
        <w:t>2.5汛期调度运用计划</w:t>
      </w:r>
      <w:bookmarkEnd w:id="24"/>
    </w:p>
    <w:p>
      <w:pPr>
        <w:ind w:firstLine="480"/>
      </w:pPr>
      <w:r>
        <w:t>（1）汛期调度方式</w:t>
      </w:r>
    </w:p>
    <w:p>
      <w:pPr>
        <w:ind w:firstLine="480"/>
      </w:pPr>
      <w:r>
        <w:t>①水库自身满足防洪标准，根据水库多年运行情况，未设置汛限水位。</w:t>
      </w:r>
    </w:p>
    <w:p>
      <w:pPr>
        <w:ind w:firstLine="480"/>
      </w:pPr>
      <w:r>
        <w:t>②洪水期：当水库水位低于270.36m时，水库对天然洪水进行拦蓄；当水库水位高于270.36m时，水库溢洪道开始自由溢流。</w:t>
      </w:r>
    </w:p>
    <w:p>
      <w:pPr>
        <w:ind w:firstLine="480"/>
      </w:pPr>
      <w:r>
        <w:fldChar w:fldCharType="begin"/>
      </w:r>
      <w:r>
        <w:instrText xml:space="preserve">=3\*GB3\*MERGEFORMAT</w:instrText>
      </w:r>
      <w:r>
        <w:fldChar w:fldCharType="separate"/>
      </w:r>
      <w:r>
        <w:t>③</w:t>
      </w:r>
      <w:r>
        <w:fldChar w:fldCharType="end"/>
      </w:r>
      <w:r>
        <w:t>当水位超过校核洪水位273.43m时，则启动非常情况下的防洪调度方式。为确保大坝安全应采取的应急措施有：打开放水</w:t>
      </w:r>
      <w:r>
        <w:rPr>
          <w:rFonts w:hint="eastAsia"/>
        </w:rPr>
        <w:t>设施和放空设施，</w:t>
      </w:r>
      <w:r>
        <w:t>增加水库泄洪能力。</w:t>
      </w:r>
    </w:p>
    <w:p>
      <w:pPr>
        <w:ind w:firstLine="480"/>
      </w:pPr>
      <w:r>
        <w:fldChar w:fldCharType="begin"/>
      </w:r>
      <w:r>
        <w:instrText xml:space="preserve">=4\*GB3\*MERGEFORMAT</w:instrText>
      </w:r>
      <w:r>
        <w:fldChar w:fldCharType="separate"/>
      </w:r>
      <w:r>
        <w:t>④</w:t>
      </w:r>
      <w:r>
        <w:fldChar w:fldCharType="end"/>
      </w:r>
      <w:r>
        <w:t>泄洪时必须通知下游场镇，不同量级的洪水来临时都要加发洪水警报，并根据防洪预案启动相应的应急预案。</w:t>
      </w:r>
    </w:p>
    <w:p>
      <w:pPr>
        <w:ind w:firstLine="480"/>
      </w:pPr>
      <w:r>
        <w:fldChar w:fldCharType="begin"/>
      </w:r>
      <w:r>
        <w:instrText xml:space="preserve">=5\*GB3\*MERGEFORMAT</w:instrText>
      </w:r>
      <w:r>
        <w:fldChar w:fldCharType="separate"/>
      </w:r>
      <w:r>
        <w:t>⑤</w:t>
      </w:r>
      <w:r>
        <w:fldChar w:fldCharType="end"/>
      </w:r>
      <w:r>
        <w:t>水库管理单位应密切关注天气情况，当预计出现超过500年一遇洪水时，24h降雨量大于300mm（3h小时雨量达到150mm以上）时，应提前通过放水管腾空部分库容以应对超标准洪水。</w:t>
      </w:r>
    </w:p>
    <w:p>
      <w:pPr>
        <w:ind w:firstLine="480"/>
      </w:pPr>
      <w:r>
        <w:t>（2）防洪调度等级划分</w:t>
      </w:r>
    </w:p>
    <w:p>
      <w:pPr>
        <w:ind w:firstLine="480"/>
      </w:pPr>
      <w:r>
        <w:fldChar w:fldCharType="begin"/>
      </w:r>
      <w:r>
        <w:instrText xml:space="preserve">=4\*ROMAN\*MERGEFORMAT</w:instrText>
      </w:r>
      <w:r>
        <w:fldChar w:fldCharType="separate"/>
      </w:r>
      <w:r>
        <w:t>Ⅳ</w:t>
      </w:r>
      <w:r>
        <w:fldChar w:fldCharType="end"/>
      </w:r>
      <w:r>
        <w:t>级：当水位值介于正常蓄水位270.36m和设计洪水位272.65m之间时，预计出现24h降雨量超过100mm时（6h小时雨量超过80mm）；</w:t>
      </w:r>
    </w:p>
    <w:p>
      <w:pPr>
        <w:ind w:firstLine="480"/>
      </w:pPr>
      <w:r>
        <w:t>Ⅲ级：当水位接近设计洪水位272.65m时，预计出现24h降雨量为150mm时（3h小时雨量达到100mm）；</w:t>
      </w:r>
    </w:p>
    <w:p>
      <w:pPr>
        <w:ind w:firstLine="480"/>
      </w:pPr>
      <w:r>
        <w:t>Ⅱ级：当水位接近100年一遇洪水位272.74m时，预计出现24h降雨量为250mm时（3h小时雨量达到120mm）；</w:t>
      </w:r>
    </w:p>
    <w:p>
      <w:pPr>
        <w:ind w:firstLine="480"/>
      </w:pPr>
      <w:r>
        <w:t>Ⅰ级：当水位接近校核洪水位273.43m时，预计出现24h降雨量为大于300mm时（3h小时雨量达到150mm以上）。</w:t>
      </w:r>
    </w:p>
    <w:p>
      <w:pPr>
        <w:pStyle w:val="3"/>
        <w:spacing w:before="120" w:after="120"/>
      </w:pPr>
      <w:bookmarkStart w:id="25" w:name="_Toc10943"/>
      <w:r>
        <w:t>2.6历史灾害及抢险情况</w:t>
      </w:r>
      <w:bookmarkEnd w:id="25"/>
    </w:p>
    <w:p>
      <w:pPr>
        <w:pStyle w:val="4"/>
        <w:spacing w:before="120" w:after="120"/>
      </w:pPr>
      <w:r>
        <w:t>2.6.1发生过的危及大坝安全的工程险情及抢险情况</w:t>
      </w:r>
    </w:p>
    <w:p>
      <w:pPr>
        <w:ind w:firstLine="480"/>
      </w:pPr>
      <w:r>
        <w:t>自工农水库大坝运行至今，未发生过危及大坝安全的重大险情。仅进行过1次整治。大坝目前运行状况良好。</w:t>
      </w:r>
    </w:p>
    <w:p>
      <w:pPr>
        <w:pStyle w:val="4"/>
        <w:spacing w:before="120" w:after="120"/>
      </w:pPr>
      <w:r>
        <w:t>2.6.2发生过的大洪水事件以及抢险情况</w:t>
      </w:r>
    </w:p>
    <w:p>
      <w:pPr>
        <w:ind w:firstLine="480"/>
      </w:pPr>
      <w:r>
        <w:t>2007年7月发生的特大洪水，最高库水位达到272.85m，水库未发生重大险情。</w:t>
      </w:r>
    </w:p>
    <w:p>
      <w:pPr>
        <w:pStyle w:val="4"/>
        <w:spacing w:before="120" w:after="120"/>
      </w:pPr>
      <w:r>
        <w:t>2.6.3历史地震及地质灾害情况及抢险情况</w:t>
      </w:r>
    </w:p>
    <w:p>
      <w:pPr>
        <w:ind w:firstLine="480"/>
      </w:pPr>
      <w:r>
        <w:t>自工农水库大坝运行至今，水库周围没有发生过威胁大坝安全的地质灾害。大坝目前运行状况良好。</w:t>
      </w:r>
    </w:p>
    <w:p>
      <w:pPr>
        <w:pStyle w:val="4"/>
        <w:spacing w:before="120" w:after="120"/>
      </w:pPr>
      <w:r>
        <w:t>2.6.4水库调度、抢险和灾害损失情况</w:t>
      </w:r>
    </w:p>
    <w:p>
      <w:pPr>
        <w:ind w:firstLine="480"/>
      </w:pPr>
      <w:r>
        <w:t>工农水库汛期运行情况及洪水调度情况良好。未造成灾害损失。</w:t>
      </w:r>
    </w:p>
    <w:p>
      <w:pPr>
        <w:pStyle w:val="3"/>
        <w:spacing w:before="120" w:after="120"/>
      </w:pPr>
      <w:bookmarkStart w:id="26" w:name="_Toc22614"/>
      <w:r>
        <w:t>2.7水库上下游影响范围概况</w:t>
      </w:r>
      <w:bookmarkEnd w:id="26"/>
    </w:p>
    <w:p>
      <w:pPr>
        <w:ind w:firstLine="480"/>
      </w:pPr>
      <w:r>
        <w:t>2018年7月工农水库防洪抢险应急预案</w:t>
      </w:r>
      <w:r>
        <w:rPr>
          <w:rFonts w:hint="eastAsia"/>
        </w:rPr>
        <w:t>实施至今，水库上游库区防洪对象未发生较大变化，下游青木溪河段防洪对象未发生较大变化。</w:t>
      </w:r>
    </w:p>
    <w:p>
      <w:pPr>
        <w:pStyle w:val="4"/>
        <w:spacing w:before="120" w:after="120"/>
      </w:pPr>
      <w:r>
        <w:t>2.7.1上游库区概况</w:t>
      </w:r>
    </w:p>
    <w:p>
      <w:pPr>
        <w:ind w:firstLine="480"/>
      </w:pPr>
      <w:r>
        <w:t>工农水库库区已做好移民和搬迁工作，库区范围内100年一遇以下洪水无居民分布，但是在面对500年超标准洪水时，库区将受到洪水影响。</w:t>
      </w:r>
    </w:p>
    <w:tbl>
      <w:tblPr>
        <w:tblStyle w:val="10"/>
        <w:tblW w:w="0" w:type="auto"/>
        <w:jc w:val="center"/>
        <w:tblLayout w:type="fixed"/>
        <w:tblCellMar>
          <w:top w:w="0" w:type="dxa"/>
          <w:left w:w="108" w:type="dxa"/>
          <w:bottom w:w="0" w:type="dxa"/>
          <w:right w:w="108" w:type="dxa"/>
        </w:tblCellMar>
      </w:tblPr>
      <w:tblGrid>
        <w:gridCol w:w="4558"/>
        <w:gridCol w:w="4559"/>
      </w:tblGrid>
      <w:tr>
        <w:tblPrEx>
          <w:tblCellMar>
            <w:top w:w="0" w:type="dxa"/>
            <w:left w:w="108" w:type="dxa"/>
            <w:bottom w:w="0" w:type="dxa"/>
            <w:right w:w="108" w:type="dxa"/>
          </w:tblCellMar>
        </w:tblPrEx>
        <w:trPr>
          <w:jc w:val="center"/>
        </w:trPr>
        <w:tc>
          <w:tcPr>
            <w:tcW w:w="4558" w:type="dxa"/>
            <w:shd w:val="clear" w:color="auto" w:fill="auto"/>
          </w:tcPr>
          <w:p>
            <w:pPr>
              <w:pStyle w:val="19"/>
              <w:rPr>
                <w:sz w:val="24"/>
                <w:szCs w:val="24"/>
              </w:rPr>
            </w:pPr>
            <w:r>
              <w:rPr>
                <w:rFonts w:cs="Times New Roman"/>
              </w:rPr>
              <w:drawing>
                <wp:inline distT="0" distB="0" distL="114300" distR="114300">
                  <wp:extent cx="2781300" cy="2133600"/>
                  <wp:effectExtent l="0" t="0" r="0" b="0"/>
                  <wp:docPr id="80" name="图片 6" descr="IMG_20211030_1232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0" name="图片 6" descr="IMG_20211030_123213"/>
                          <pic:cNvPicPr>
                            <a:picLocks noChangeAspect="true"/>
                          </pic:cNvPicPr>
                        </pic:nvPicPr>
                        <pic:blipFill>
                          <a:blip r:embed="rId19"/>
                          <a:stretch>
                            <a:fillRect/>
                          </a:stretch>
                        </pic:blipFill>
                        <pic:spPr>
                          <a:xfrm>
                            <a:off x="0" y="0"/>
                            <a:ext cx="2781300" cy="2133600"/>
                          </a:xfrm>
                          <a:prstGeom prst="rect">
                            <a:avLst/>
                          </a:prstGeom>
                          <a:solidFill>
                            <a:srgbClr val="FFFFFF"/>
                          </a:solidFill>
                          <a:ln>
                            <a:noFill/>
                          </a:ln>
                        </pic:spPr>
                      </pic:pic>
                    </a:graphicData>
                  </a:graphic>
                </wp:inline>
              </w:drawing>
            </w:r>
          </w:p>
        </w:tc>
        <w:tc>
          <w:tcPr>
            <w:tcW w:w="4559" w:type="dxa"/>
            <w:shd w:val="clear" w:color="auto" w:fill="auto"/>
          </w:tcPr>
          <w:p>
            <w:pPr>
              <w:pStyle w:val="19"/>
              <w:rPr>
                <w:sz w:val="24"/>
                <w:szCs w:val="24"/>
              </w:rPr>
            </w:pPr>
            <w:r>
              <w:rPr>
                <w:rFonts w:cs="Times New Roman"/>
              </w:rPr>
              <w:drawing>
                <wp:inline distT="0" distB="0" distL="114300" distR="114300">
                  <wp:extent cx="2813050" cy="2133600"/>
                  <wp:effectExtent l="0" t="0" r="6350" b="0"/>
                  <wp:docPr id="81" name="图片 7" descr="IMG_20211030_1231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1" name="图片 7" descr="IMG_20211030_123137"/>
                          <pic:cNvPicPr>
                            <a:picLocks noChangeAspect="true"/>
                          </pic:cNvPicPr>
                        </pic:nvPicPr>
                        <pic:blipFill>
                          <a:blip r:embed="rId20"/>
                          <a:stretch>
                            <a:fillRect/>
                          </a:stretch>
                        </pic:blipFill>
                        <pic:spPr>
                          <a:xfrm>
                            <a:off x="0" y="0"/>
                            <a:ext cx="2813050" cy="2133600"/>
                          </a:xfrm>
                          <a:prstGeom prst="rect">
                            <a:avLst/>
                          </a:prstGeom>
                          <a:solidFill>
                            <a:srgbClr val="FFFFFF"/>
                          </a:solidFill>
                          <a:ln>
                            <a:noFill/>
                          </a:ln>
                        </pic:spPr>
                      </pic:pic>
                    </a:graphicData>
                  </a:graphic>
                </wp:inline>
              </w:drawing>
            </w:r>
          </w:p>
        </w:tc>
      </w:tr>
      <w:tr>
        <w:tblPrEx>
          <w:tblCellMar>
            <w:top w:w="0" w:type="dxa"/>
            <w:left w:w="108" w:type="dxa"/>
            <w:bottom w:w="0" w:type="dxa"/>
            <w:right w:w="108" w:type="dxa"/>
          </w:tblCellMar>
        </w:tblPrEx>
        <w:trPr>
          <w:jc w:val="center"/>
        </w:trPr>
        <w:tc>
          <w:tcPr>
            <w:tcW w:w="4558" w:type="dxa"/>
            <w:shd w:val="clear" w:color="auto" w:fill="auto"/>
          </w:tcPr>
          <w:p>
            <w:pPr>
              <w:pStyle w:val="19"/>
              <w:rPr>
                <w:sz w:val="24"/>
                <w:szCs w:val="24"/>
              </w:rPr>
            </w:pPr>
            <w:r>
              <w:rPr>
                <w:rFonts w:cs="Times New Roman"/>
                <w:b/>
                <w:bCs/>
                <w:sz w:val="24"/>
                <w:szCs w:val="24"/>
              </w:rPr>
              <w:t>图2.</w:t>
            </w:r>
            <w:r>
              <w:rPr>
                <w:rFonts w:hint="eastAsia" w:cs="Times New Roman"/>
                <w:b/>
                <w:bCs/>
                <w:sz w:val="24"/>
                <w:szCs w:val="24"/>
              </w:rPr>
              <w:t xml:space="preserve">7-1  </w:t>
            </w:r>
            <w:r>
              <w:rPr>
                <w:rFonts w:cs="Times New Roman"/>
                <w:b/>
                <w:bCs/>
                <w:sz w:val="24"/>
                <w:szCs w:val="24"/>
              </w:rPr>
              <w:t>工农水库库区桥梁</w:t>
            </w:r>
          </w:p>
        </w:tc>
        <w:tc>
          <w:tcPr>
            <w:tcW w:w="4559" w:type="dxa"/>
            <w:shd w:val="clear" w:color="auto" w:fill="auto"/>
          </w:tcPr>
          <w:p>
            <w:pPr>
              <w:pStyle w:val="19"/>
              <w:rPr>
                <w:rFonts w:cs="Times New Roman"/>
                <w:b/>
                <w:bCs/>
                <w:sz w:val="24"/>
                <w:szCs w:val="24"/>
              </w:rPr>
            </w:pPr>
            <w:r>
              <w:rPr>
                <w:rFonts w:cs="Times New Roman"/>
                <w:b/>
                <w:bCs/>
                <w:sz w:val="24"/>
                <w:szCs w:val="24"/>
              </w:rPr>
              <w:t>图2.</w:t>
            </w:r>
            <w:r>
              <w:rPr>
                <w:rFonts w:hint="eastAsia" w:cs="Times New Roman"/>
                <w:b/>
                <w:bCs/>
                <w:sz w:val="24"/>
                <w:szCs w:val="24"/>
              </w:rPr>
              <w:t>7-2</w:t>
            </w:r>
            <w:r>
              <w:rPr>
                <w:rFonts w:cs="Times New Roman"/>
                <w:b/>
                <w:bCs/>
                <w:sz w:val="24"/>
                <w:szCs w:val="24"/>
              </w:rPr>
              <w:t xml:space="preserve">  库周100年水位以上房屋</w:t>
            </w:r>
          </w:p>
        </w:tc>
      </w:tr>
    </w:tbl>
    <w:p>
      <w:pPr>
        <w:pStyle w:val="4"/>
        <w:spacing w:before="120" w:after="120"/>
      </w:pPr>
      <w:r>
        <w:t>2.7.2下游主要防护对象</w:t>
      </w:r>
    </w:p>
    <w:p>
      <w:pPr>
        <w:ind w:firstLine="480"/>
      </w:pPr>
      <w:r>
        <w:t>青木关镇是重庆市的小城镇建设试点镇，是重庆市“百强镇”之一，位于缙云山脉和梁滩河的沿片地带，南与璧山区相邻，距璧山城区12公里。总人口3.5万人，辖青云街、新青路2个社区，管家桥、石碾桥、青木湖、四楞碑、关口5个行政村。幅员面积32.27平方公里，其中城区面积2.2平方公里，耕地面积944公顷，林地1300公顷。凤凰镇地处重庆市沙坪坝区西部，东、南与沙坪坝区回龙坝、土主、青木关镇相邻，西与壁山区接界，北濒北碚区，幅员面积31.7平方公里，丘陵地形，地势西高东低。2019年，全镇总人口约2.2万人。</w:t>
      </w:r>
      <w:r>
        <w:rPr>
          <w:rFonts w:hint="eastAsia"/>
        </w:rPr>
        <w:t>水库下游主要防护对象</w:t>
      </w:r>
      <w:r>
        <w:t>如下：</w:t>
      </w:r>
    </w:p>
    <w:p>
      <w:pPr>
        <w:ind w:firstLine="480"/>
      </w:pPr>
      <w:r>
        <w:rPr>
          <w:rFonts w:hint="eastAsia"/>
        </w:rPr>
        <w:t>场镇村庄：</w:t>
      </w:r>
      <w:r>
        <w:t>青木关镇管家桥村</w:t>
      </w:r>
      <w:r>
        <w:rPr>
          <w:rFonts w:hint="eastAsia"/>
        </w:rPr>
        <w:t>、</w:t>
      </w:r>
      <w:r>
        <w:t>青木湖村</w:t>
      </w:r>
      <w:r>
        <w:rPr>
          <w:rFonts w:hint="eastAsia"/>
        </w:rPr>
        <w:t>，</w:t>
      </w:r>
      <w:r>
        <w:t>凤凰镇</w:t>
      </w:r>
      <w:r>
        <w:rPr>
          <w:rFonts w:hint="eastAsia"/>
        </w:rPr>
        <w:t>威灵寺村</w:t>
      </w:r>
      <w:r>
        <w:t>。</w:t>
      </w:r>
    </w:p>
    <w:p>
      <w:pPr>
        <w:ind w:firstLine="480"/>
      </w:pPr>
      <w:r>
        <w:t>交通要道</w:t>
      </w:r>
      <w:r>
        <w:rPr>
          <w:rFonts w:hint="eastAsia"/>
        </w:rPr>
        <w:t>：</w:t>
      </w:r>
      <w:r>
        <w:t>坝址下游主要有成渝环线高速、重庆绕城高速。</w:t>
      </w:r>
    </w:p>
    <w:p>
      <w:pPr>
        <w:ind w:firstLine="480"/>
        <w:rPr>
          <w:szCs w:val="28"/>
        </w:rPr>
      </w:pPr>
      <w:r>
        <w:t>工矿企业：</w:t>
      </w:r>
      <w:r>
        <w:rPr>
          <w:rFonts w:hint="eastAsia"/>
        </w:rPr>
        <w:t>重庆</w:t>
      </w:r>
      <w:r>
        <w:t>飞达表面处理中心等10家工矿企业。</w:t>
      </w:r>
      <w:r>
        <w:rPr>
          <w:szCs w:val="28"/>
        </w:rPr>
        <w:tab/>
      </w:r>
    </w:p>
    <w:p>
      <w:pPr>
        <w:pStyle w:val="2"/>
        <w:spacing w:before="240" w:after="240"/>
      </w:pPr>
      <w:r>
        <w:rPr>
          <w:sz w:val="30"/>
          <w:szCs w:val="30"/>
        </w:rPr>
        <w:br w:type="page"/>
      </w:r>
      <w:bookmarkStart w:id="27" w:name="_Toc6111"/>
      <w:r>
        <w:rPr>
          <w:rStyle w:val="15"/>
          <w:b/>
          <w:bCs/>
        </w:rPr>
        <w:t>3突发事件危害性分析</w:t>
      </w:r>
      <w:bookmarkEnd w:id="27"/>
    </w:p>
    <w:p>
      <w:pPr>
        <w:pStyle w:val="3"/>
        <w:spacing w:before="120" w:after="120"/>
      </w:pPr>
      <w:bookmarkStart w:id="28" w:name="_Toc31816"/>
      <w:r>
        <w:t>3.1重大工程险情分析</w:t>
      </w:r>
      <w:bookmarkEnd w:id="28"/>
    </w:p>
    <w:p>
      <w:pPr>
        <w:pStyle w:val="4"/>
        <w:spacing w:before="120" w:after="120"/>
      </w:pPr>
      <w:r>
        <w:t>3.1.1重大险情主要因素</w:t>
      </w:r>
    </w:p>
    <w:p>
      <w:pPr>
        <w:ind w:firstLine="480"/>
      </w:pPr>
      <w:r>
        <w:t>水库在运行过程中，出现重大险情的诱因主要包括工程性因素、不可抗力及人为破坏三方面。</w:t>
      </w:r>
    </w:p>
    <w:p>
      <w:pPr>
        <w:ind w:firstLine="480"/>
      </w:pPr>
      <w:r>
        <w:t>（1）工程性因素：由于设计缺陷、施工中遗留安全隐患、运行维护失当等原因造成大坝重大安全隐患。从查阅设计资料及竣工验收资料来看，未发现影响大坝安全的设计和施工质量隐患。</w:t>
      </w:r>
    </w:p>
    <w:p>
      <w:pPr>
        <w:ind w:firstLine="480"/>
      </w:pPr>
      <w:r>
        <w:t>（2）不可抗力：遭遇超标准洪水、地质灾害、地震灾害等原因造成洪水翻坝、坝体失稳、结构破环等重大险情。遭遇超标准洪水的概率小于</w:t>
      </w:r>
      <w:r>
        <w:rPr>
          <w:rFonts w:hint="eastAsia"/>
        </w:rPr>
        <w:t>2</w:t>
      </w:r>
      <w:r>
        <w:t>‰；该工程地区不属于地震高发区，发生Ⅵ级以上地震的可能性很小；目前库区内未发现有害地质灾害。</w:t>
      </w:r>
    </w:p>
    <w:p>
      <w:pPr>
        <w:ind w:firstLine="480"/>
      </w:pPr>
      <w:r>
        <w:t>（3）人为破环：遭遇战争、恐怖袭击或犯罪分子人为破坏等原因造成水库大坝受创或损毁。目前国际及国内形势相对稳定，战争、恐怖袭击、犯罪分子人为破环等威胁大坝安全事件出现的概率极低，但仍需提高警惕，做好防范措施。</w:t>
      </w:r>
    </w:p>
    <w:p>
      <w:pPr>
        <w:pStyle w:val="4"/>
        <w:spacing w:before="120" w:after="120"/>
      </w:pPr>
      <w:r>
        <w:t>3.1.2重大险情种类及可能性大小</w:t>
      </w:r>
    </w:p>
    <w:p>
      <w:pPr>
        <w:tabs>
          <w:tab w:val="left" w:pos="709"/>
        </w:tabs>
        <w:ind w:firstLine="480"/>
      </w:pPr>
      <w:r>
        <w:t>突发事件可分为自然灾害类、事故灾害类、社会安全类。根据</w:t>
      </w:r>
      <w:r>
        <w:rPr>
          <w:rFonts w:hint="eastAsia"/>
        </w:rPr>
        <w:t>工农水库</w:t>
      </w:r>
      <w:r>
        <w:t>实际情况，可能出现的突发事件有如下几点：大坝渗漏、基本烈度超过Ⅵ级以上的地震灾害、超标准洪水、库区山体滑坡或崩塌、人为破坏、恐怖袭击或战争等。</w:t>
      </w:r>
    </w:p>
    <w:p>
      <w:pPr>
        <w:ind w:firstLine="482"/>
        <w:rPr>
          <w:b/>
          <w:bCs/>
        </w:rPr>
      </w:pPr>
      <w:r>
        <w:rPr>
          <w:b/>
          <w:bCs/>
        </w:rPr>
        <w:t>一、自然灾害类突发事件及其可能性大小</w:t>
      </w:r>
    </w:p>
    <w:p>
      <w:pPr>
        <w:ind w:firstLine="480"/>
      </w:pPr>
      <w:r>
        <w:t>（1）超标准洪水：工农</w:t>
      </w:r>
      <w:r>
        <w:rPr>
          <w:rFonts w:hint="eastAsia"/>
        </w:rPr>
        <w:t>水库</w:t>
      </w:r>
      <w:r>
        <w:t>坝址以上集雨面积25.51km²，水库总库容为285万m³，主要建筑物设计洪水标准为50年一遇，校核洪标准为500年一遇。坝址以上河流属山区河流，植被好，河道较长，流域面积呈扇形，坡降陡，洪水汇流时间短，根据工程河段历史洪水调查反映，本流域的洪水具有陡涨陡落的特性，出现超标准洪水的概率低于2‰。</w:t>
      </w:r>
    </w:p>
    <w:p>
      <w:pPr>
        <w:ind w:firstLine="480"/>
      </w:pPr>
      <w:r>
        <w:t>（2）库区山体滑坡或崩塌：水库库区植被较好，库周均为低中山，山体雄厚，库岸基岩多裸露，岸坡一般较缓，库岸稳定性好。因此水库库岸及大坝周边山体滑坡或崩塌对大坝安全及坝肩稳定影响较小。</w:t>
      </w:r>
    </w:p>
    <w:p>
      <w:pPr>
        <w:ind w:firstLine="480"/>
      </w:pPr>
      <w:r>
        <w:t>（3）地震：据《中国地震动峰值加速度区划图》（GB18306-2001），本区地震动峰值加速度为0.05g（相当于地震基本烈度为Ⅵ度），地震动反应谱特征周期为0.35s，50年超越概率10%条件下，地震烈度为≤Ⅵ度，工程区地震基本烈度以Ⅵ度为宜。本工程诱发地震的可能性较小。</w:t>
      </w:r>
    </w:p>
    <w:p>
      <w:pPr>
        <w:ind w:firstLine="480"/>
      </w:pPr>
      <w:r>
        <w:t>（4）超极限位移：当特大暴雨、库区山体滑坡、地震等外力作用下，坝体位移超过极限时，大坝即将溃坝，从目前运行状况看，出现的机率极低。</w:t>
      </w:r>
    </w:p>
    <w:p>
      <w:pPr>
        <w:ind w:firstLine="482"/>
        <w:rPr>
          <w:b/>
          <w:bCs/>
        </w:rPr>
      </w:pPr>
      <w:r>
        <w:rPr>
          <w:b/>
          <w:bCs/>
        </w:rPr>
        <w:t>二、事故灾害类突发事件及其可能性大小</w:t>
      </w:r>
    </w:p>
    <w:p>
      <w:pPr>
        <w:ind w:firstLine="480"/>
      </w:pPr>
      <w:r>
        <w:t>事故灾害类突发事件主要有大坝渗漏、裂隙、溢洪道坍塌、放水设施断裂等情况。</w:t>
      </w:r>
    </w:p>
    <w:p>
      <w:pPr>
        <w:ind w:firstLine="480"/>
      </w:pPr>
      <w:r>
        <w:t>（1）挡水建筑物：水库漫坝、发生严重的基础破坏以及漏水、决口。</w:t>
      </w:r>
    </w:p>
    <w:p>
      <w:pPr>
        <w:ind w:firstLine="480"/>
      </w:pPr>
      <w:r>
        <w:t>（2）泄水建筑物：紧急情况下，溢洪道超标准洪水泄洪，导致侧墙坍塌，底部严重冲刷。</w:t>
      </w:r>
    </w:p>
    <w:p>
      <w:pPr>
        <w:ind w:firstLine="480"/>
      </w:pPr>
      <w:r>
        <w:t>（3）放水建筑物：放水设施严重断裂，大量漏水浑浊。</w:t>
      </w:r>
    </w:p>
    <w:p>
      <w:pPr>
        <w:ind w:firstLine="480"/>
      </w:pPr>
      <w:r>
        <w:t>根据《工农水库大坝安全鉴定报告书》（2020年7月），综合评价该水库大坝为二类坝，可在加强监控下运行，水库事故灾害风险较低。</w:t>
      </w:r>
    </w:p>
    <w:p>
      <w:pPr>
        <w:ind w:firstLine="482"/>
        <w:rPr>
          <w:b/>
          <w:bCs/>
        </w:rPr>
      </w:pPr>
      <w:r>
        <w:rPr>
          <w:b/>
          <w:bCs/>
        </w:rPr>
        <w:t>三、社会安全类突发事件及其可能性大小</w:t>
      </w:r>
    </w:p>
    <w:p>
      <w:pPr>
        <w:ind w:firstLine="480"/>
      </w:pPr>
      <w:r>
        <w:t>社会安全类包括：人为破坏、恐怖袭击和战争。</w:t>
      </w:r>
    </w:p>
    <w:p>
      <w:pPr>
        <w:ind w:firstLine="480"/>
      </w:pPr>
      <w:r>
        <w:t>战争：由于当前国际局势仍然存在不稳定因素，因捍卫民族团结、主权完整的正义战争依然存在，但可能性极低。</w:t>
      </w:r>
    </w:p>
    <w:p>
      <w:pPr>
        <w:ind w:firstLine="480"/>
      </w:pPr>
      <w:r>
        <w:t>恐怖袭击：出现恐怖袭击的可能性较低，但仍需保持警惕。</w:t>
      </w:r>
    </w:p>
    <w:p>
      <w:pPr>
        <w:ind w:firstLine="480"/>
      </w:pPr>
      <w:r>
        <w:t>人为破坏：表现在社会犯罪分子对坝体及其附属设施的破坏，从目前而言，可能性较低，但仍需做好防范措施。</w:t>
      </w:r>
    </w:p>
    <w:p>
      <w:pPr>
        <w:pStyle w:val="3"/>
        <w:spacing w:before="120" w:after="120"/>
      </w:pPr>
      <w:bookmarkStart w:id="29" w:name="_Toc12846"/>
      <w:r>
        <w:t>3.2溃坝分析</w:t>
      </w:r>
      <w:bookmarkEnd w:id="29"/>
    </w:p>
    <w:p>
      <w:pPr>
        <w:pStyle w:val="4"/>
        <w:spacing w:before="120" w:after="120"/>
      </w:pPr>
      <w:r>
        <w:t>3.2.1溃坝主要因素</w:t>
      </w:r>
    </w:p>
    <w:p>
      <w:pPr>
        <w:tabs>
          <w:tab w:val="left" w:pos="709"/>
        </w:tabs>
        <w:ind w:firstLine="480"/>
      </w:pPr>
      <w:r>
        <w:t>可能导致水库大坝溃决的主要因素有：超标准洪水、工程隐患、地质灾害、地震灾害、战争或恐怖事件、其它等。根据《水利水电工程水文计算规范》（SL207-2020），超标准洪水可能导致水库工程出现的险情如下：</w:t>
      </w:r>
    </w:p>
    <w:p>
      <w:pPr>
        <w:tabs>
          <w:tab w:val="left" w:pos="8789"/>
        </w:tabs>
        <w:ind w:firstLine="480"/>
        <w:jc w:val="left"/>
      </w:pPr>
      <w:r>
        <w:t>（1）水库溢洪道超设计流量时，洪水漫溢溢洪道边墙，严重冲刷大坝下游坡脚，危及大坝安全。</w:t>
      </w:r>
    </w:p>
    <w:p>
      <w:pPr>
        <w:tabs>
          <w:tab w:val="left" w:pos="8789"/>
        </w:tabs>
        <w:ind w:firstLine="480"/>
        <w:jc w:val="left"/>
      </w:pPr>
      <w:r>
        <w:t>（2）入库流量远大于出库流量，洪水不能及时下泄，库水位急剧升高，最终导致洪水漫溢坝顶造成溃坝。</w:t>
      </w:r>
    </w:p>
    <w:p>
      <w:pPr>
        <w:ind w:firstLine="480"/>
      </w:pPr>
      <w:r>
        <w:t>（3）由于高水位作用，大坝出现渗透破坏、淘刷等重大险情。</w:t>
      </w:r>
    </w:p>
    <w:p>
      <w:pPr>
        <w:ind w:firstLine="480"/>
      </w:pPr>
      <w:r>
        <w:rPr>
          <w:rFonts w:hint="eastAsia"/>
        </w:rPr>
        <w:t>（4）泄水建筑物荷载超过设计安全值，导致泄水建筑物出现失稳、裂缝等，危及工程安全。</w:t>
      </w:r>
    </w:p>
    <w:p>
      <w:pPr>
        <w:pStyle w:val="4"/>
        <w:spacing w:before="120" w:after="120"/>
      </w:pPr>
      <w:r>
        <w:t>3.2.2水库溃坝形式</w:t>
      </w:r>
    </w:p>
    <w:p>
      <w:pPr>
        <w:ind w:firstLine="480"/>
      </w:pPr>
      <w:r>
        <w:t>关于溃坝的类型，根据溃坝时间的长短，可分为瞬时溃坝和逐渐溃坝；根据溃坝缺口规模的大小可分为全部溃坝和局部溃坝。全部溃坝为全坝长（即整个大坝）都溃到坝基的情况。局部溃坝可分为两种：一种为沿坝长方向部分区域发生溃坝，单在垂直方向残留着一定高度的坝体横向局部溃坝；另一种为在大坝局部区域发生溃决缺口，其深度达到坝基的纵向局部溃坝。有时同时存在这两种局部溃坝类型。</w:t>
      </w:r>
    </w:p>
    <w:p>
      <w:pPr>
        <w:ind w:firstLine="480"/>
      </w:pPr>
      <w:r>
        <w:t>本次为安全考虑，按瞬时全溃处理进行</w:t>
      </w:r>
      <w:r>
        <w:rPr>
          <w:rFonts w:hint="eastAsia"/>
        </w:rPr>
        <w:t>溃坝</w:t>
      </w:r>
      <w:r>
        <w:t>洪水计算。</w:t>
      </w:r>
    </w:p>
    <w:p>
      <w:pPr>
        <w:pStyle w:val="4"/>
        <w:spacing w:before="120" w:after="120"/>
      </w:pPr>
      <w:r>
        <w:t>3.2.3溃坝洪水计算</w:t>
      </w:r>
    </w:p>
    <w:p>
      <w:pPr>
        <w:ind w:firstLine="480"/>
      </w:pPr>
      <w:r>
        <w:t>（1）水库溃坝洪水分析</w:t>
      </w:r>
    </w:p>
    <w:p>
      <w:pPr>
        <w:ind w:firstLine="480"/>
      </w:pPr>
      <w:r>
        <w:t>计算水库坝址断面溃坝最大流量的计算方法很多，其常见的计算方法有：经验公式法（如肖克利契公式、圣维南公式等）、波额流量计算、圣维南详算法、堰流与波流相交法或联解法（如辽宁市水利局方法）等。结合本工程实际，本</w:t>
      </w:r>
      <w:r>
        <w:rPr>
          <w:rFonts w:hint="eastAsia"/>
        </w:rPr>
        <w:t>次</w:t>
      </w:r>
      <w:r>
        <w:t>主要采用《四川省水文手册》中推荐采用的经验公式法进行溃坝洪水计算。</w:t>
      </w:r>
    </w:p>
    <w:p>
      <w:pPr>
        <w:ind w:firstLine="480"/>
      </w:pPr>
      <w:r>
        <w:t>①根据《四川省水文手册》</w:t>
      </w:r>
      <w:r>
        <w:rPr>
          <w:rFonts w:hint="eastAsia"/>
        </w:rPr>
        <w:t>，</w:t>
      </w:r>
      <w:r>
        <w:t>坝址处溃坝最大流量计算公式：</w:t>
      </w:r>
    </w:p>
    <w:p>
      <w:pPr>
        <w:spacing w:line="240" w:lineRule="auto"/>
        <w:ind w:firstLine="0" w:firstLineChars="0"/>
        <w:jc w:val="center"/>
      </w:pPr>
      <w:r>
        <w:object>
          <v:shape id="_x0000_i1032" o:spt="75" type="#_x0000_t75" style="height:31pt;width:171pt;" o:ole="t" filled="f" o:preferrelative="t" stroked="f" coordsize="21600,21600">
            <v:path/>
            <v:fill on="f" focussize="0,0"/>
            <v:stroke on="f" joinstyle="miter"/>
            <v:imagedata r:id="rId22" o:title=""/>
            <o:lock v:ext="edit" aspectratio="t"/>
            <w10:wrap type="none"/>
            <w10:anchorlock/>
          </v:shape>
          <o:OLEObject Type="Embed" ProgID="Equation.3" ShapeID="_x0000_i1032" DrawAspect="Content" ObjectID="_1468075725" r:id="rId21">
            <o:LockedField>false</o:LockedField>
          </o:OLEObject>
        </w:object>
      </w:r>
    </w:p>
    <w:p>
      <w:pPr>
        <w:ind w:firstLine="480"/>
      </w:pPr>
      <w:r>
        <w:t>②根据《四川省水文手册》，溃坝最大流量向下游演算公式：</w:t>
      </w:r>
    </w:p>
    <w:p>
      <w:pPr>
        <w:spacing w:line="240" w:lineRule="auto"/>
        <w:ind w:firstLine="0" w:firstLineChars="0"/>
        <w:jc w:val="center"/>
      </w:pPr>
      <w:r>
        <w:object>
          <v:shape id="_x0000_i1033" o:spt="75" type="#_x0000_t75" style="height:50.5pt;width:90pt;" o:ole="t" filled="f" o:preferrelative="t" stroked="f" coordsize="21600,21600">
            <v:path/>
            <v:fill on="f" focussize="0,0"/>
            <v:stroke on="f" joinstyle="miter"/>
            <v:imagedata r:id="rId24" o:title=""/>
            <o:lock v:ext="edit" aspectratio="t"/>
            <w10:wrap type="none"/>
            <w10:anchorlock/>
          </v:shape>
          <o:OLEObject Type="Embed" ProgID="Equation.3" ShapeID="_x0000_i1033" DrawAspect="Content" ObjectID="_1468075726" r:id="rId23">
            <o:LockedField>false</o:LockedField>
          </o:OLEObject>
        </w:object>
      </w:r>
    </w:p>
    <w:p>
      <w:pPr>
        <w:ind w:firstLine="480"/>
      </w:pPr>
      <w:r>
        <w:t>式中：Q</w:t>
      </w:r>
      <w:r>
        <w:rPr>
          <w:vertAlign w:val="subscript"/>
        </w:rPr>
        <w:t>m</w:t>
      </w:r>
      <w:r>
        <w:t>—坝址处溃坝最大流量（m³/s）；</w:t>
      </w:r>
    </w:p>
    <w:p>
      <w:pPr>
        <w:ind w:firstLine="1200" w:firstLineChars="500"/>
      </w:pPr>
      <w:r>
        <w:t>B—溃坝时沿坝前水面宽度或坝顶长度（m）；</w:t>
      </w:r>
    </w:p>
    <w:p>
      <w:pPr>
        <w:ind w:firstLine="1200" w:firstLineChars="500"/>
      </w:pPr>
      <w:r>
        <w:t>b—局部溃决口宽度（m）；</w:t>
      </w:r>
    </w:p>
    <w:p>
      <w:pPr>
        <w:ind w:firstLine="1200" w:firstLineChars="500"/>
      </w:pPr>
      <w:r>
        <w:t>h—溃决后剩余坝高，如未剩余h=0；</w:t>
      </w:r>
    </w:p>
    <w:p>
      <w:pPr>
        <w:ind w:firstLine="1200" w:firstLineChars="500"/>
      </w:pPr>
      <w:r>
        <w:t>H</w:t>
      </w:r>
      <w:r>
        <w:rPr>
          <w:vertAlign w:val="subscript"/>
        </w:rPr>
        <w:t>0</w:t>
      </w:r>
      <w:r>
        <w:t>—水头，溃坝前上下游水位差（m）；</w:t>
      </w:r>
    </w:p>
    <w:p>
      <w:pPr>
        <w:ind w:firstLine="1200" w:firstLineChars="500"/>
      </w:pPr>
      <w:r>
        <w:t>H—坝高（m）；</w:t>
      </w:r>
    </w:p>
    <w:p>
      <w:pPr>
        <w:ind w:firstLine="1200" w:firstLineChars="500"/>
      </w:pPr>
      <w:r>
        <w:t>Q</w:t>
      </w:r>
      <w:r>
        <w:rPr>
          <w:vertAlign w:val="subscript"/>
        </w:rPr>
        <w:t>xm</w:t>
      </w:r>
      <w:r>
        <w:t>—演进至下游某处的溃坝最大流量（m³/s）；</w:t>
      </w:r>
    </w:p>
    <w:p>
      <w:pPr>
        <w:ind w:firstLine="1200" w:firstLineChars="500"/>
      </w:pPr>
      <w:r>
        <w:t>W—水库溃坝时的库容（m³）；</w:t>
      </w:r>
    </w:p>
    <w:p>
      <w:pPr>
        <w:ind w:firstLine="1200" w:firstLineChars="500"/>
      </w:pPr>
      <w:r>
        <w:t>L—下游某处距坝址的距离（m）；</w:t>
      </w:r>
    </w:p>
    <w:p>
      <w:pPr>
        <w:ind w:firstLine="1200" w:firstLineChars="500"/>
      </w:pPr>
      <w:r>
        <w:t xml:space="preserve">V—河道洪水期断面平均流速，在有资料地区V可取实测最大值，无资料地区时山区取5.0～3.0m/s，山丘区取3.0～2.0m/s，平原区取2.0～1.0m/s，结合流域实际情况，本工程取3.0m/s。 </w:t>
      </w:r>
    </w:p>
    <w:p>
      <w:pPr>
        <w:ind w:firstLine="1200" w:firstLineChars="500"/>
      </w:pPr>
      <w:r>
        <w:t>K—经验系数，综合反映河段断面、比降、糙率等因素的系数。山区取1.5～1.1，山丘区取 1.0，平原区取 0.9～0.8，本工程取1.1。</w:t>
      </w:r>
    </w:p>
    <w:p>
      <w:pPr>
        <w:ind w:firstLine="480"/>
      </w:pPr>
      <w:r>
        <w:t>③根据《四川省水文手册》，洪水传播时间采用黄河水利委员会水利科学研究所实验求得的溃坝洪水传播时间计算公式，最大流量到达时间计算公式为：</w:t>
      </w:r>
    </w:p>
    <w:p>
      <w:pPr>
        <w:spacing w:line="240" w:lineRule="auto"/>
        <w:ind w:firstLine="0" w:firstLineChars="0"/>
        <w:jc w:val="center"/>
      </w:pPr>
      <w:r>
        <w:rPr>
          <w:position w:val="-32"/>
        </w:rPr>
        <w:object>
          <v:shape id="_x0000_i1034" o:spt="75" type="#_x0000_t75" style="height:37pt;width:112pt;" o:ole="t" filled="f" o:preferrelative="t" stroked="f" coordsize="21600,21600">
            <v:path/>
            <v:fill on="f" focussize="0,0"/>
            <v:stroke on="f" joinstyle="miter"/>
            <v:imagedata r:id="rId26" o:title=""/>
            <o:lock v:ext="edit" aspectratio="t"/>
            <w10:wrap type="none"/>
            <w10:anchorlock/>
          </v:shape>
          <o:OLEObject Type="Embed" ProgID="Equation.3" ShapeID="_x0000_i1034" DrawAspect="Content" ObjectID="_1468075727" r:id="rId25">
            <o:LockedField>false</o:LockedField>
          </o:OLEObject>
        </w:object>
      </w:r>
    </w:p>
    <w:p>
      <w:pPr>
        <w:ind w:firstLine="480"/>
      </w:pPr>
      <w:r>
        <w:t>式中：K</w:t>
      </w:r>
      <w:r>
        <w:rPr>
          <w:vertAlign w:val="subscript"/>
        </w:rPr>
        <w:t>2</w:t>
      </w:r>
      <w:r>
        <w:t>—系数，等于0.8～1.2，本工程K</w:t>
      </w:r>
      <w:r>
        <w:rPr>
          <w:vertAlign w:val="subscript"/>
        </w:rPr>
        <w:t>2</w:t>
      </w:r>
      <w:r>
        <w:t>取1.0；</w:t>
      </w:r>
    </w:p>
    <w:p>
      <w:pPr>
        <w:ind w:firstLine="1200" w:firstLineChars="500"/>
      </w:pPr>
      <w:r>
        <w:t>h</w:t>
      </w:r>
      <w:r>
        <w:rPr>
          <w:vertAlign w:val="subscript"/>
        </w:rPr>
        <w:t>M</w:t>
      </w:r>
      <w:r>
        <w:t>—最大流量时的平均水深（h），根据最大流量查水位流量关系曲线得；</w:t>
      </w:r>
    </w:p>
    <w:p>
      <w:pPr>
        <w:ind w:firstLine="1200" w:firstLineChars="500"/>
      </w:pPr>
      <w:r>
        <w:t>H</w:t>
      </w:r>
      <w:r>
        <w:rPr>
          <w:vertAlign w:val="subscript"/>
        </w:rPr>
        <w:t>0</w:t>
      </w:r>
      <w:r>
        <w:t>—坝上游水深（m）；</w:t>
      </w:r>
    </w:p>
    <w:p>
      <w:pPr>
        <w:ind w:firstLine="1200" w:firstLineChars="500"/>
      </w:pPr>
      <w:r>
        <w:t>W—可泄库容（m³）；</w:t>
      </w:r>
    </w:p>
    <w:p>
      <w:pPr>
        <w:ind w:firstLine="1200" w:firstLineChars="500"/>
      </w:pPr>
      <w:r>
        <w:t>t</w:t>
      </w:r>
      <w:r>
        <w:rPr>
          <w:vertAlign w:val="subscript"/>
        </w:rPr>
        <w:t>2</w:t>
      </w:r>
      <w:r>
        <w:t>—最大流量到达时间（s）。</w:t>
      </w:r>
    </w:p>
    <w:p>
      <w:pPr>
        <w:ind w:firstLine="480"/>
      </w:pPr>
      <w:r>
        <w:t>④控制断面水位根据洪水流量采用水力学公式计算</w:t>
      </w:r>
      <w:r>
        <w:rPr>
          <w:rFonts w:hint="eastAsia"/>
        </w:rPr>
        <w:t>：</w:t>
      </w:r>
    </w:p>
    <w:p>
      <w:pPr>
        <w:spacing w:line="240" w:lineRule="auto"/>
        <w:ind w:firstLine="0" w:firstLineChars="0"/>
        <w:jc w:val="center"/>
      </w:pPr>
      <w:r>
        <w:object>
          <v:shape id="_x0000_i1035" o:spt="75" type="#_x0000_t75" style="height:31pt;width:86pt;" o:ole="t" filled="f" o:preferrelative="t" stroked="f" coordsize="21600,21600">
            <v:path/>
            <v:fill on="f" focussize="0,0"/>
            <v:stroke on="f" joinstyle="miter"/>
            <v:imagedata r:id="rId28" o:title=""/>
            <o:lock v:ext="edit" aspectratio="t"/>
            <w10:wrap type="none"/>
            <w10:anchorlock/>
          </v:shape>
          <o:OLEObject Type="Embed" ProgID="Equation.3" ShapeID="_x0000_i1035" DrawAspect="Content" ObjectID="_1468075728" r:id="rId27">
            <o:LockedField>false</o:LockedField>
          </o:OLEObject>
        </w:object>
      </w:r>
    </w:p>
    <w:p>
      <w:pPr>
        <w:ind w:firstLine="480"/>
      </w:pPr>
      <w:r>
        <w:t>式中：Qn—演进至下游某处的溃坝最大流量（m³/s）；</w:t>
      </w:r>
    </w:p>
    <w:p>
      <w:pPr>
        <w:ind w:firstLine="1200" w:firstLineChars="500"/>
      </w:pPr>
      <w:r>
        <w:t>A—过水面积（m²）；</w:t>
      </w:r>
    </w:p>
    <w:p>
      <w:pPr>
        <w:ind w:firstLine="1200" w:firstLineChars="500"/>
      </w:pPr>
      <w:r>
        <w:t>R—水力半径（m）；</w:t>
      </w:r>
    </w:p>
    <w:p>
      <w:pPr>
        <w:ind w:firstLine="1200" w:firstLineChars="500"/>
      </w:pPr>
      <w:r>
        <w:t>J—河床比降；</w:t>
      </w:r>
    </w:p>
    <w:p>
      <w:pPr>
        <w:ind w:firstLine="1200" w:firstLineChars="500"/>
      </w:pPr>
      <w:r>
        <w:t>n—河道糙率。</w:t>
      </w:r>
    </w:p>
    <w:p>
      <w:pPr>
        <w:spacing w:line="480" w:lineRule="exact"/>
        <w:ind w:firstLine="480"/>
      </w:pPr>
      <w:r>
        <w:t>结合工程实际情况，本次计算工农水库最不利条件下溃坝，即水位在坝顶高程情况下瞬间溃坝。溃坝洪水计算参数见表3.2-1。</w:t>
      </w:r>
    </w:p>
    <w:p>
      <w:pPr>
        <w:pStyle w:val="18"/>
        <w:rPr>
          <w:rFonts w:cs="Times New Roman"/>
        </w:rPr>
      </w:pPr>
      <w:r>
        <w:rPr>
          <w:rFonts w:cs="Times New Roman"/>
        </w:rPr>
        <w:t>表3.2-1  工农水库坝址处溃坝洪水计算成果表</w:t>
      </w:r>
    </w:p>
    <w:tbl>
      <w:tblPr>
        <w:tblStyle w:val="1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43"/>
        <w:gridCol w:w="1161"/>
        <w:gridCol w:w="1305"/>
        <w:gridCol w:w="1910"/>
        <w:gridCol w:w="1088"/>
        <w:gridCol w:w="13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4" w:type="pct"/>
            <w:tcBorders>
              <w:tl2br w:val="nil"/>
              <w:tr2bl w:val="nil"/>
            </w:tcBorders>
            <w:vAlign w:val="center"/>
          </w:tcPr>
          <w:p>
            <w:pPr>
              <w:pStyle w:val="19"/>
              <w:rPr>
                <w:rFonts w:cs="Times New Roman"/>
              </w:rPr>
            </w:pPr>
            <w:r>
              <w:rPr>
                <w:rFonts w:cs="Times New Roman"/>
              </w:rPr>
              <w:t>溃坝前坝前水位（m）</w:t>
            </w:r>
          </w:p>
        </w:tc>
        <w:tc>
          <w:tcPr>
            <w:tcW w:w="637" w:type="pct"/>
            <w:tcBorders>
              <w:tl2br w:val="nil"/>
              <w:tr2bl w:val="nil"/>
            </w:tcBorders>
            <w:vAlign w:val="center"/>
          </w:tcPr>
          <w:p>
            <w:pPr>
              <w:pStyle w:val="19"/>
              <w:rPr>
                <w:rFonts w:cs="Times New Roman"/>
              </w:rPr>
            </w:pPr>
            <w:r>
              <w:rPr>
                <w:rFonts w:cs="Times New Roman"/>
              </w:rPr>
              <w:t>对应库容</w:t>
            </w:r>
          </w:p>
          <w:p>
            <w:pPr>
              <w:pStyle w:val="19"/>
              <w:rPr>
                <w:rFonts w:cs="Times New Roman"/>
              </w:rPr>
            </w:pPr>
            <w:r>
              <w:rPr>
                <w:rFonts w:cs="Times New Roman"/>
              </w:rPr>
              <w:t>（万m³）</w:t>
            </w:r>
          </w:p>
        </w:tc>
        <w:tc>
          <w:tcPr>
            <w:tcW w:w="716" w:type="pct"/>
            <w:tcBorders>
              <w:tl2br w:val="nil"/>
              <w:tr2bl w:val="nil"/>
            </w:tcBorders>
            <w:vAlign w:val="center"/>
          </w:tcPr>
          <w:p>
            <w:pPr>
              <w:pStyle w:val="19"/>
              <w:rPr>
                <w:rFonts w:cs="Times New Roman"/>
              </w:rPr>
            </w:pPr>
            <w:r>
              <w:rPr>
                <w:rFonts w:cs="Times New Roman"/>
              </w:rPr>
              <w:t>溃坝方案</w:t>
            </w:r>
          </w:p>
        </w:tc>
        <w:tc>
          <w:tcPr>
            <w:tcW w:w="1047" w:type="pct"/>
            <w:tcBorders>
              <w:tl2br w:val="nil"/>
              <w:tr2bl w:val="nil"/>
            </w:tcBorders>
            <w:vAlign w:val="center"/>
          </w:tcPr>
          <w:p>
            <w:pPr>
              <w:pStyle w:val="19"/>
              <w:rPr>
                <w:rFonts w:cs="Times New Roman"/>
              </w:rPr>
            </w:pPr>
            <w:r>
              <w:rPr>
                <w:rFonts w:cs="Times New Roman"/>
              </w:rPr>
              <w:t>溃坝前水深（m）</w:t>
            </w:r>
          </w:p>
        </w:tc>
        <w:tc>
          <w:tcPr>
            <w:tcW w:w="597" w:type="pct"/>
            <w:tcBorders>
              <w:tl2br w:val="nil"/>
              <w:tr2bl w:val="nil"/>
            </w:tcBorders>
            <w:vAlign w:val="center"/>
          </w:tcPr>
          <w:p>
            <w:pPr>
              <w:pStyle w:val="19"/>
              <w:rPr>
                <w:rFonts w:cs="Times New Roman"/>
              </w:rPr>
            </w:pPr>
            <w:r>
              <w:rPr>
                <w:rFonts w:cs="Times New Roman"/>
              </w:rPr>
              <w:t>溃口宽度</w:t>
            </w:r>
          </w:p>
          <w:p>
            <w:pPr>
              <w:pStyle w:val="19"/>
              <w:rPr>
                <w:rFonts w:cs="Times New Roman"/>
              </w:rPr>
            </w:pPr>
            <w:r>
              <w:rPr>
                <w:rFonts w:cs="Times New Roman"/>
              </w:rPr>
              <w:t>（m）</w:t>
            </w:r>
          </w:p>
        </w:tc>
        <w:tc>
          <w:tcPr>
            <w:tcW w:w="716" w:type="pct"/>
            <w:tcBorders>
              <w:tl2br w:val="nil"/>
              <w:tr2bl w:val="nil"/>
            </w:tcBorders>
            <w:vAlign w:val="center"/>
          </w:tcPr>
          <w:p>
            <w:pPr>
              <w:pStyle w:val="19"/>
              <w:rPr>
                <w:rFonts w:cs="Times New Roman"/>
              </w:rPr>
            </w:pPr>
            <w:r>
              <w:rPr>
                <w:rFonts w:cs="Times New Roman"/>
              </w:rPr>
              <w:t>溃坝前库容</w:t>
            </w:r>
          </w:p>
          <w:p>
            <w:pPr>
              <w:pStyle w:val="19"/>
              <w:rPr>
                <w:rFonts w:cs="Times New Roman"/>
              </w:rPr>
            </w:pPr>
            <w:r>
              <w:rPr>
                <w:rFonts w:cs="Times New Roman"/>
              </w:rPr>
              <w:t>（万m³）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4" w:type="pct"/>
            <w:tcBorders>
              <w:tl2br w:val="nil"/>
              <w:tr2bl w:val="nil"/>
            </w:tcBorders>
            <w:vAlign w:val="center"/>
          </w:tcPr>
          <w:p>
            <w:pPr>
              <w:pStyle w:val="19"/>
              <w:rPr>
                <w:rFonts w:cs="Times New Roman"/>
              </w:rPr>
            </w:pPr>
            <w:r>
              <w:rPr>
                <w:rFonts w:cs="Times New Roman"/>
              </w:rPr>
              <w:t>坝顶高程273.</w:t>
            </w:r>
            <w:r>
              <w:rPr>
                <w:rFonts w:hint="eastAsia" w:cs="Times New Roman"/>
              </w:rPr>
              <w:t>54</w:t>
            </w:r>
          </w:p>
        </w:tc>
        <w:tc>
          <w:tcPr>
            <w:tcW w:w="637" w:type="pct"/>
            <w:tcBorders>
              <w:tl2br w:val="nil"/>
              <w:tr2bl w:val="nil"/>
            </w:tcBorders>
            <w:vAlign w:val="center"/>
          </w:tcPr>
          <w:p>
            <w:pPr>
              <w:pStyle w:val="19"/>
              <w:rPr>
                <w:rFonts w:cs="Times New Roman"/>
              </w:rPr>
            </w:pPr>
            <w:r>
              <w:rPr>
                <w:rFonts w:hint="eastAsia" w:cs="Times New Roman"/>
              </w:rPr>
              <w:t>285</w:t>
            </w:r>
          </w:p>
        </w:tc>
        <w:tc>
          <w:tcPr>
            <w:tcW w:w="716" w:type="pct"/>
            <w:tcBorders>
              <w:tl2br w:val="nil"/>
              <w:tr2bl w:val="nil"/>
            </w:tcBorders>
            <w:vAlign w:val="center"/>
          </w:tcPr>
          <w:p>
            <w:pPr>
              <w:pStyle w:val="19"/>
              <w:rPr>
                <w:rFonts w:cs="Times New Roman"/>
              </w:rPr>
            </w:pPr>
            <w:r>
              <w:rPr>
                <w:rFonts w:cs="Times New Roman"/>
              </w:rPr>
              <w:t>瞬间全溃坝</w:t>
            </w:r>
          </w:p>
        </w:tc>
        <w:tc>
          <w:tcPr>
            <w:tcW w:w="1047" w:type="pct"/>
            <w:tcBorders>
              <w:tl2br w:val="nil"/>
              <w:tr2bl w:val="nil"/>
            </w:tcBorders>
            <w:vAlign w:val="center"/>
          </w:tcPr>
          <w:p>
            <w:pPr>
              <w:pStyle w:val="19"/>
              <w:rPr>
                <w:rFonts w:cs="Times New Roman"/>
              </w:rPr>
            </w:pPr>
            <w:r>
              <w:rPr>
                <w:rFonts w:cs="Times New Roman"/>
              </w:rPr>
              <w:t>18.217</w:t>
            </w:r>
          </w:p>
        </w:tc>
        <w:tc>
          <w:tcPr>
            <w:tcW w:w="597" w:type="pct"/>
            <w:tcBorders>
              <w:tl2br w:val="nil"/>
              <w:tr2bl w:val="nil"/>
            </w:tcBorders>
            <w:vAlign w:val="center"/>
          </w:tcPr>
          <w:p>
            <w:pPr>
              <w:pStyle w:val="19"/>
              <w:rPr>
                <w:rFonts w:cs="Times New Roman"/>
              </w:rPr>
            </w:pPr>
            <w:r>
              <w:rPr>
                <w:rFonts w:cs="Times New Roman"/>
              </w:rPr>
              <w:t>88.8</w:t>
            </w:r>
          </w:p>
        </w:tc>
        <w:tc>
          <w:tcPr>
            <w:tcW w:w="716" w:type="pct"/>
            <w:tcBorders>
              <w:tl2br w:val="nil"/>
              <w:tr2bl w:val="nil"/>
            </w:tcBorders>
            <w:vAlign w:val="center"/>
          </w:tcPr>
          <w:p>
            <w:pPr>
              <w:pStyle w:val="19"/>
              <w:rPr>
                <w:rFonts w:cs="Times New Roman"/>
              </w:rPr>
            </w:pPr>
            <w:r>
              <w:rPr>
                <w:rFonts w:hint="eastAsia" w:cs="Times New Roman"/>
              </w:rPr>
              <w:t>285</w:t>
            </w:r>
          </w:p>
        </w:tc>
      </w:tr>
    </w:tbl>
    <w:p>
      <w:pPr>
        <w:ind w:firstLine="480"/>
      </w:pPr>
      <w:r>
        <w:t>（2）溃坝洪水淹没范围分析</w:t>
      </w:r>
    </w:p>
    <w:p>
      <w:pPr>
        <w:ind w:firstLine="480"/>
      </w:pPr>
      <w:r>
        <w:t>在最不利的溃坝方案，即溃坝前，洪水水位漫顶，主坝瞬时溃坝。这种溃坝方案下各个计算断面的最大流量，洪水水位以及最大流量到大断面的时间计算结果见表</w:t>
      </w:r>
      <w:r>
        <w:rPr>
          <w:rFonts w:hint="eastAsia"/>
        </w:rPr>
        <w:t>3</w:t>
      </w:r>
      <w:r>
        <w:t>.</w:t>
      </w:r>
      <w:r>
        <w:rPr>
          <w:rFonts w:hint="eastAsia"/>
        </w:rPr>
        <w:t>2</w:t>
      </w:r>
      <w:r>
        <w:t>-2。根据水库溃坝流量演算，至汇入梁滩河的位置，流量为</w:t>
      </w:r>
      <w:r>
        <w:rPr>
          <w:rFonts w:hint="eastAsia"/>
        </w:rPr>
        <w:t>1920</w:t>
      </w:r>
      <w:r>
        <w:t>m³/s，小于该断面P=1%洪峰流量</w:t>
      </w:r>
      <w:r>
        <w:rPr>
          <w:rFonts w:hint="eastAsia"/>
        </w:rPr>
        <w:t>205</w:t>
      </w:r>
      <w:r>
        <w:t>0m³/s，梁滩河该河段宽度约50m，满足泄流要求。</w:t>
      </w:r>
    </w:p>
    <w:p>
      <w:pPr>
        <w:pStyle w:val="18"/>
        <w:rPr>
          <w:rFonts w:cs="Times New Roman"/>
        </w:rPr>
      </w:pPr>
      <w:r>
        <w:rPr>
          <w:rFonts w:cs="Times New Roman"/>
        </w:rPr>
        <w:t>表3.2-2  工农水库溃坝洪水计算成果表</w:t>
      </w:r>
    </w:p>
    <w:tbl>
      <w:tblPr>
        <w:tblStyle w:val="1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1519"/>
        <w:gridCol w:w="1519"/>
        <w:gridCol w:w="1519"/>
        <w:gridCol w:w="1519"/>
        <w:gridCol w:w="15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tcBorders>
              <w:top w:val="single" w:color="auto" w:sz="12" w:space="0"/>
              <w:left w:val="single" w:color="auto" w:sz="12" w:space="0"/>
              <w:bottom w:val="single" w:color="auto" w:sz="4" w:space="0"/>
              <w:right w:val="single" w:color="auto" w:sz="4" w:space="0"/>
            </w:tcBorders>
            <w:vAlign w:val="center"/>
          </w:tcPr>
          <w:p>
            <w:pPr>
              <w:pStyle w:val="19"/>
              <w:rPr>
                <w:rFonts w:cs="Times New Roman"/>
              </w:rPr>
            </w:pPr>
            <w:r>
              <w:rPr>
                <w:rFonts w:hint="eastAsia"/>
              </w:rPr>
              <w:t>序号</w:t>
            </w:r>
          </w:p>
        </w:tc>
        <w:tc>
          <w:tcPr>
            <w:tcW w:w="833" w:type="pct"/>
            <w:tcBorders>
              <w:top w:val="single" w:color="auto" w:sz="12" w:space="0"/>
              <w:left w:val="single" w:color="auto" w:sz="4" w:space="0"/>
              <w:bottom w:val="single" w:color="auto" w:sz="4" w:space="0"/>
              <w:right w:val="single" w:color="auto" w:sz="4" w:space="0"/>
            </w:tcBorders>
            <w:vAlign w:val="center"/>
          </w:tcPr>
          <w:p>
            <w:pPr>
              <w:pStyle w:val="19"/>
              <w:rPr>
                <w:rFonts w:cs="Times New Roman"/>
              </w:rPr>
            </w:pPr>
            <w:r>
              <w:rPr>
                <w:rFonts w:cs="Times New Roman"/>
              </w:rPr>
              <w:t>地名</w:t>
            </w:r>
          </w:p>
        </w:tc>
        <w:tc>
          <w:tcPr>
            <w:tcW w:w="833" w:type="pct"/>
            <w:tcBorders>
              <w:top w:val="single" w:color="auto" w:sz="12" w:space="0"/>
              <w:left w:val="single" w:color="auto" w:sz="4" w:space="0"/>
              <w:bottom w:val="single" w:color="auto" w:sz="4" w:space="0"/>
              <w:right w:val="single" w:color="auto" w:sz="4" w:space="0"/>
            </w:tcBorders>
            <w:vAlign w:val="center"/>
          </w:tcPr>
          <w:p>
            <w:pPr>
              <w:pStyle w:val="19"/>
              <w:rPr>
                <w:rFonts w:cs="Times New Roman"/>
              </w:rPr>
            </w:pPr>
            <w:r>
              <w:rPr>
                <w:rFonts w:cs="Times New Roman"/>
              </w:rPr>
              <w:t>里程（m）</w:t>
            </w:r>
          </w:p>
        </w:tc>
        <w:tc>
          <w:tcPr>
            <w:tcW w:w="833" w:type="pct"/>
            <w:tcBorders>
              <w:top w:val="single" w:color="auto" w:sz="12" w:space="0"/>
              <w:left w:val="single" w:color="auto" w:sz="4" w:space="0"/>
              <w:bottom w:val="single" w:color="auto" w:sz="4" w:space="0"/>
              <w:right w:val="single" w:color="auto" w:sz="4" w:space="0"/>
            </w:tcBorders>
            <w:vAlign w:val="center"/>
          </w:tcPr>
          <w:p>
            <w:pPr>
              <w:pStyle w:val="19"/>
              <w:rPr>
                <w:rFonts w:cs="Times New Roman"/>
              </w:rPr>
            </w:pPr>
            <w:r>
              <w:rPr>
                <w:rFonts w:cs="Times New Roman"/>
              </w:rPr>
              <w:t>Qxm（m³/s）</w:t>
            </w:r>
          </w:p>
        </w:tc>
        <w:tc>
          <w:tcPr>
            <w:tcW w:w="833" w:type="pct"/>
            <w:tcBorders>
              <w:top w:val="single" w:color="auto" w:sz="12" w:space="0"/>
              <w:left w:val="single" w:color="auto" w:sz="4" w:space="0"/>
              <w:bottom w:val="single" w:color="auto" w:sz="4" w:space="0"/>
              <w:right w:val="single" w:color="auto" w:sz="4" w:space="0"/>
            </w:tcBorders>
            <w:vAlign w:val="center"/>
          </w:tcPr>
          <w:p>
            <w:pPr>
              <w:pStyle w:val="19"/>
              <w:rPr>
                <w:rFonts w:cs="Times New Roman"/>
              </w:rPr>
            </w:pPr>
            <w:r>
              <w:rPr>
                <w:rFonts w:cs="Times New Roman"/>
              </w:rPr>
              <w:t>水位（m）</w:t>
            </w:r>
          </w:p>
        </w:tc>
        <w:tc>
          <w:tcPr>
            <w:tcW w:w="833" w:type="pct"/>
            <w:tcBorders>
              <w:top w:val="single" w:color="auto" w:sz="12" w:space="0"/>
              <w:left w:val="single" w:color="auto" w:sz="4" w:space="0"/>
              <w:bottom w:val="single" w:color="auto" w:sz="4" w:space="0"/>
              <w:right w:val="single" w:color="auto" w:sz="12" w:space="0"/>
            </w:tcBorders>
            <w:vAlign w:val="center"/>
          </w:tcPr>
          <w:p>
            <w:pPr>
              <w:pStyle w:val="19"/>
              <w:rPr>
                <w:rFonts w:cs="Times New Roman"/>
              </w:rPr>
            </w:pPr>
            <w:r>
              <w:rPr>
                <w:rFonts w:cs="Times New Roman"/>
              </w:rPr>
              <w:t>传播时间t（s）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tcBorders>
              <w:top w:val="single" w:color="auto" w:sz="4" w:space="0"/>
              <w:left w:val="single" w:color="auto" w:sz="12" w:space="0"/>
              <w:bottom w:val="single" w:color="auto" w:sz="4" w:space="0"/>
              <w:right w:val="single" w:color="auto" w:sz="4" w:space="0"/>
            </w:tcBorders>
            <w:vAlign w:val="center"/>
          </w:tcPr>
          <w:p>
            <w:pPr>
              <w:pStyle w:val="19"/>
              <w:rPr>
                <w:rFonts w:cs="Times New Roman"/>
              </w:rPr>
            </w:pPr>
            <w:r>
              <w:rPr>
                <w:rFonts w:cs="Times New Roman"/>
              </w:rPr>
              <w:t>1</w:t>
            </w:r>
          </w:p>
        </w:tc>
        <w:tc>
          <w:tcPr>
            <w:tcW w:w="833" w:type="pct"/>
            <w:tcBorders>
              <w:top w:val="single" w:color="auto" w:sz="4" w:space="0"/>
              <w:left w:val="single" w:color="auto" w:sz="4" w:space="0"/>
              <w:bottom w:val="single" w:color="auto" w:sz="4" w:space="0"/>
              <w:right w:val="single" w:color="auto" w:sz="4" w:space="0"/>
            </w:tcBorders>
            <w:vAlign w:val="center"/>
          </w:tcPr>
          <w:p>
            <w:pPr>
              <w:pStyle w:val="19"/>
              <w:rPr>
                <w:rFonts w:cs="Times New Roman"/>
              </w:rPr>
            </w:pPr>
            <w:r>
              <w:rPr>
                <w:rFonts w:cs="Times New Roman"/>
              </w:rPr>
              <w:t>工农水库大坝</w:t>
            </w:r>
          </w:p>
        </w:tc>
        <w:tc>
          <w:tcPr>
            <w:tcW w:w="833" w:type="pct"/>
            <w:tcBorders>
              <w:top w:val="single" w:color="auto" w:sz="4" w:space="0"/>
              <w:left w:val="single" w:color="auto" w:sz="4" w:space="0"/>
              <w:bottom w:val="single" w:color="auto" w:sz="4" w:space="0"/>
              <w:right w:val="single" w:color="auto" w:sz="4" w:space="0"/>
            </w:tcBorders>
            <w:vAlign w:val="center"/>
          </w:tcPr>
          <w:p>
            <w:pPr>
              <w:pStyle w:val="19"/>
            </w:pPr>
            <w:r>
              <w:rPr>
                <w:rFonts w:hint="eastAsia"/>
              </w:rPr>
              <w:t>0</w:t>
            </w:r>
          </w:p>
        </w:tc>
        <w:tc>
          <w:tcPr>
            <w:tcW w:w="833" w:type="pct"/>
            <w:tcBorders>
              <w:top w:val="single" w:color="auto" w:sz="4" w:space="0"/>
              <w:left w:val="single" w:color="auto" w:sz="4" w:space="0"/>
              <w:bottom w:val="single" w:color="auto" w:sz="4" w:space="0"/>
              <w:right w:val="single" w:color="auto" w:sz="4" w:space="0"/>
            </w:tcBorders>
            <w:vAlign w:val="center"/>
          </w:tcPr>
          <w:p>
            <w:pPr>
              <w:pStyle w:val="19"/>
            </w:pPr>
            <w:r>
              <w:rPr>
                <w:rFonts w:hint="eastAsia"/>
              </w:rPr>
              <w:t xml:space="preserve">6510 </w:t>
            </w:r>
          </w:p>
        </w:tc>
        <w:tc>
          <w:tcPr>
            <w:tcW w:w="833" w:type="pct"/>
            <w:tcBorders>
              <w:top w:val="single" w:color="auto" w:sz="4" w:space="0"/>
              <w:left w:val="single" w:color="auto" w:sz="4" w:space="0"/>
              <w:bottom w:val="single" w:color="auto" w:sz="4" w:space="0"/>
              <w:right w:val="single" w:color="auto" w:sz="4" w:space="0"/>
            </w:tcBorders>
            <w:vAlign w:val="center"/>
          </w:tcPr>
          <w:p>
            <w:pPr>
              <w:pStyle w:val="19"/>
            </w:pPr>
            <w:r>
              <w:rPr>
                <w:rFonts w:hint="eastAsia"/>
              </w:rPr>
              <w:t>273.54</w:t>
            </w:r>
          </w:p>
        </w:tc>
        <w:tc>
          <w:tcPr>
            <w:tcW w:w="833" w:type="pct"/>
            <w:tcBorders>
              <w:top w:val="single" w:color="auto" w:sz="4" w:space="0"/>
              <w:left w:val="single" w:color="auto" w:sz="4" w:space="0"/>
              <w:bottom w:val="single" w:color="auto" w:sz="4" w:space="0"/>
              <w:right w:val="single" w:color="auto" w:sz="12" w:space="0"/>
            </w:tcBorders>
            <w:vAlign w:val="center"/>
          </w:tcPr>
          <w:p>
            <w:pPr>
              <w:pStyle w:val="19"/>
              <w:rPr>
                <w:rFonts w:cs="Times New Roman"/>
              </w:rPr>
            </w:pPr>
            <w:r>
              <w:rPr>
                <w:rFonts w:cs="Times New Roman"/>
              </w:rPr>
              <w:t>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tcBorders>
              <w:top w:val="single" w:color="auto" w:sz="4" w:space="0"/>
              <w:left w:val="single" w:color="auto" w:sz="12" w:space="0"/>
              <w:bottom w:val="single" w:color="auto" w:sz="4" w:space="0"/>
              <w:right w:val="single" w:color="auto" w:sz="4" w:space="0"/>
            </w:tcBorders>
            <w:vAlign w:val="center"/>
          </w:tcPr>
          <w:p>
            <w:pPr>
              <w:pStyle w:val="19"/>
              <w:rPr>
                <w:rFonts w:cs="Times New Roman"/>
              </w:rPr>
            </w:pPr>
            <w:r>
              <w:rPr>
                <w:rFonts w:cs="Times New Roman"/>
              </w:rPr>
              <w:t>2</w:t>
            </w:r>
          </w:p>
        </w:tc>
        <w:tc>
          <w:tcPr>
            <w:tcW w:w="833" w:type="pct"/>
            <w:tcBorders>
              <w:top w:val="single" w:color="auto" w:sz="4" w:space="0"/>
              <w:left w:val="single" w:color="auto" w:sz="4" w:space="0"/>
              <w:bottom w:val="single" w:color="auto" w:sz="4" w:space="0"/>
              <w:right w:val="single" w:color="auto" w:sz="4" w:space="0"/>
            </w:tcBorders>
            <w:vAlign w:val="center"/>
          </w:tcPr>
          <w:p>
            <w:pPr>
              <w:pStyle w:val="19"/>
              <w:rPr>
                <w:rFonts w:cs="Times New Roman"/>
              </w:rPr>
            </w:pPr>
          </w:p>
        </w:tc>
        <w:tc>
          <w:tcPr>
            <w:tcW w:w="833" w:type="pct"/>
            <w:tcBorders>
              <w:top w:val="single" w:color="auto" w:sz="4" w:space="0"/>
              <w:left w:val="single" w:color="auto" w:sz="4" w:space="0"/>
              <w:bottom w:val="single" w:color="auto" w:sz="4" w:space="0"/>
              <w:right w:val="single" w:color="auto" w:sz="4" w:space="0"/>
            </w:tcBorders>
            <w:vAlign w:val="center"/>
          </w:tcPr>
          <w:p>
            <w:pPr>
              <w:pStyle w:val="19"/>
            </w:pPr>
            <w:r>
              <w:rPr>
                <w:rFonts w:hint="eastAsia"/>
              </w:rPr>
              <w:t xml:space="preserve">529 </w:t>
            </w:r>
          </w:p>
        </w:tc>
        <w:tc>
          <w:tcPr>
            <w:tcW w:w="833" w:type="pct"/>
            <w:tcBorders>
              <w:top w:val="single" w:color="auto" w:sz="4" w:space="0"/>
              <w:left w:val="single" w:color="auto" w:sz="4" w:space="0"/>
              <w:bottom w:val="single" w:color="auto" w:sz="4" w:space="0"/>
              <w:right w:val="single" w:color="auto" w:sz="4" w:space="0"/>
            </w:tcBorders>
            <w:vAlign w:val="center"/>
          </w:tcPr>
          <w:p>
            <w:pPr>
              <w:pStyle w:val="19"/>
            </w:pPr>
            <w:r>
              <w:rPr>
                <w:rFonts w:hint="eastAsia"/>
              </w:rPr>
              <w:t xml:space="preserve">4766 </w:t>
            </w:r>
          </w:p>
        </w:tc>
        <w:tc>
          <w:tcPr>
            <w:tcW w:w="833" w:type="pct"/>
            <w:tcBorders>
              <w:top w:val="single" w:color="auto" w:sz="4" w:space="0"/>
              <w:left w:val="single" w:color="auto" w:sz="4" w:space="0"/>
              <w:bottom w:val="single" w:color="auto" w:sz="4" w:space="0"/>
              <w:right w:val="single" w:color="auto" w:sz="4" w:space="0"/>
            </w:tcBorders>
            <w:vAlign w:val="center"/>
          </w:tcPr>
          <w:p>
            <w:pPr>
              <w:pStyle w:val="19"/>
            </w:pPr>
            <w:r>
              <w:rPr>
                <w:rFonts w:hint="eastAsia"/>
              </w:rPr>
              <w:t>265.57</w:t>
            </w:r>
          </w:p>
        </w:tc>
        <w:tc>
          <w:tcPr>
            <w:tcW w:w="833" w:type="pct"/>
            <w:tcBorders>
              <w:top w:val="single" w:color="auto" w:sz="4" w:space="0"/>
              <w:left w:val="single" w:color="auto" w:sz="4" w:space="0"/>
              <w:bottom w:val="single" w:color="auto" w:sz="4" w:space="0"/>
              <w:right w:val="single" w:color="auto" w:sz="12" w:space="0"/>
            </w:tcBorders>
            <w:vAlign w:val="center"/>
          </w:tcPr>
          <w:p>
            <w:pPr>
              <w:pStyle w:val="19"/>
              <w:rPr>
                <w:rFonts w:cs="Times New Roman"/>
              </w:rPr>
            </w:pPr>
            <w:r>
              <w:rPr>
                <w:rFonts w:cs="Times New Roman"/>
              </w:rPr>
              <w:t>0:0</w:t>
            </w:r>
            <w:r>
              <w:rPr>
                <w:rFonts w:hint="eastAsia" w:cs="Times New Roman"/>
              </w:rPr>
              <w:t>0</w:t>
            </w:r>
            <w:r>
              <w:rPr>
                <w:rFonts w:cs="Times New Roman"/>
              </w:rPr>
              <w:t>:</w:t>
            </w:r>
            <w:r>
              <w:rPr>
                <w:rFonts w:hint="eastAsia" w:cs="Times New Roman"/>
              </w:rPr>
              <w:t>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tcBorders>
              <w:top w:val="single" w:color="auto" w:sz="4" w:space="0"/>
              <w:left w:val="single" w:color="auto" w:sz="12" w:space="0"/>
              <w:bottom w:val="single" w:color="auto" w:sz="4" w:space="0"/>
              <w:right w:val="single" w:color="auto" w:sz="4" w:space="0"/>
            </w:tcBorders>
            <w:vAlign w:val="center"/>
          </w:tcPr>
          <w:p>
            <w:pPr>
              <w:pStyle w:val="19"/>
              <w:rPr>
                <w:rFonts w:cs="Times New Roman"/>
              </w:rPr>
            </w:pPr>
            <w:r>
              <w:rPr>
                <w:rFonts w:cs="Times New Roman"/>
              </w:rPr>
              <w:t>3</w:t>
            </w:r>
          </w:p>
        </w:tc>
        <w:tc>
          <w:tcPr>
            <w:tcW w:w="833" w:type="pct"/>
            <w:tcBorders>
              <w:top w:val="single" w:color="auto" w:sz="4" w:space="0"/>
              <w:left w:val="single" w:color="auto" w:sz="4" w:space="0"/>
              <w:bottom w:val="single" w:color="auto" w:sz="4" w:space="0"/>
              <w:right w:val="single" w:color="auto" w:sz="4" w:space="0"/>
            </w:tcBorders>
            <w:vAlign w:val="center"/>
          </w:tcPr>
          <w:p>
            <w:pPr>
              <w:pStyle w:val="19"/>
              <w:rPr>
                <w:rFonts w:cs="Times New Roman"/>
              </w:rPr>
            </w:pPr>
            <w:r>
              <w:rPr>
                <w:rFonts w:hint="eastAsia" w:cs="Times New Roman"/>
              </w:rPr>
              <w:t>大桥坡</w:t>
            </w:r>
          </w:p>
        </w:tc>
        <w:tc>
          <w:tcPr>
            <w:tcW w:w="833" w:type="pct"/>
            <w:tcBorders>
              <w:top w:val="single" w:color="auto" w:sz="4" w:space="0"/>
              <w:left w:val="single" w:color="auto" w:sz="4" w:space="0"/>
              <w:bottom w:val="single" w:color="auto" w:sz="4" w:space="0"/>
              <w:right w:val="single" w:color="auto" w:sz="4" w:space="0"/>
            </w:tcBorders>
            <w:vAlign w:val="center"/>
          </w:tcPr>
          <w:p>
            <w:pPr>
              <w:pStyle w:val="19"/>
            </w:pPr>
            <w:r>
              <w:rPr>
                <w:rFonts w:hint="eastAsia"/>
              </w:rPr>
              <w:t xml:space="preserve">1377 </w:t>
            </w:r>
          </w:p>
        </w:tc>
        <w:tc>
          <w:tcPr>
            <w:tcW w:w="833" w:type="pct"/>
            <w:tcBorders>
              <w:top w:val="single" w:color="auto" w:sz="4" w:space="0"/>
              <w:left w:val="single" w:color="auto" w:sz="4" w:space="0"/>
              <w:bottom w:val="single" w:color="auto" w:sz="4" w:space="0"/>
              <w:right w:val="single" w:color="auto" w:sz="4" w:space="0"/>
            </w:tcBorders>
            <w:vAlign w:val="center"/>
          </w:tcPr>
          <w:p>
            <w:pPr>
              <w:pStyle w:val="19"/>
            </w:pPr>
            <w:r>
              <w:rPr>
                <w:rFonts w:hint="eastAsia"/>
              </w:rPr>
              <w:t xml:space="preserve">3332 </w:t>
            </w:r>
          </w:p>
        </w:tc>
        <w:tc>
          <w:tcPr>
            <w:tcW w:w="833" w:type="pct"/>
            <w:tcBorders>
              <w:top w:val="single" w:color="auto" w:sz="4" w:space="0"/>
              <w:left w:val="single" w:color="auto" w:sz="4" w:space="0"/>
              <w:bottom w:val="single" w:color="auto" w:sz="4" w:space="0"/>
              <w:right w:val="single" w:color="auto" w:sz="4" w:space="0"/>
            </w:tcBorders>
            <w:vAlign w:val="center"/>
          </w:tcPr>
          <w:p>
            <w:pPr>
              <w:pStyle w:val="19"/>
            </w:pPr>
            <w:r>
              <w:rPr>
                <w:rFonts w:hint="eastAsia"/>
              </w:rPr>
              <w:t>257.85</w:t>
            </w:r>
          </w:p>
        </w:tc>
        <w:tc>
          <w:tcPr>
            <w:tcW w:w="833" w:type="pct"/>
            <w:tcBorders>
              <w:top w:val="single" w:color="auto" w:sz="4" w:space="0"/>
              <w:left w:val="single" w:color="auto" w:sz="4" w:space="0"/>
              <w:bottom w:val="single" w:color="auto" w:sz="4" w:space="0"/>
              <w:right w:val="single" w:color="auto" w:sz="12" w:space="0"/>
            </w:tcBorders>
            <w:vAlign w:val="center"/>
          </w:tcPr>
          <w:p>
            <w:pPr>
              <w:pStyle w:val="19"/>
              <w:rPr>
                <w:rFonts w:cs="Times New Roman"/>
              </w:rPr>
            </w:pPr>
            <w:r>
              <w:rPr>
                <w:rFonts w:cs="Times New Roman"/>
              </w:rPr>
              <w:t>0:0</w:t>
            </w:r>
            <w:r>
              <w:rPr>
                <w:rFonts w:hint="eastAsia" w:cs="Times New Roman"/>
              </w:rPr>
              <w:t>2</w:t>
            </w:r>
            <w:r>
              <w:rPr>
                <w:rFonts w:cs="Times New Roman"/>
              </w:rPr>
              <w:t>:</w:t>
            </w:r>
            <w:r>
              <w:rPr>
                <w:rFonts w:hint="eastAsia" w:cs="Times New Roma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tcBorders>
              <w:top w:val="single" w:color="auto" w:sz="4" w:space="0"/>
              <w:left w:val="single" w:color="auto" w:sz="12" w:space="0"/>
              <w:bottom w:val="single" w:color="auto" w:sz="4" w:space="0"/>
              <w:right w:val="single" w:color="auto" w:sz="4" w:space="0"/>
            </w:tcBorders>
            <w:vAlign w:val="center"/>
          </w:tcPr>
          <w:p>
            <w:pPr>
              <w:pStyle w:val="19"/>
              <w:rPr>
                <w:rFonts w:cs="Times New Roman"/>
              </w:rPr>
            </w:pPr>
            <w:r>
              <w:rPr>
                <w:rFonts w:cs="Times New Roman"/>
              </w:rPr>
              <w:t>4</w:t>
            </w:r>
          </w:p>
        </w:tc>
        <w:tc>
          <w:tcPr>
            <w:tcW w:w="833" w:type="pct"/>
            <w:tcBorders>
              <w:top w:val="single" w:color="auto" w:sz="4" w:space="0"/>
              <w:left w:val="single" w:color="auto" w:sz="4" w:space="0"/>
              <w:bottom w:val="single" w:color="auto" w:sz="4" w:space="0"/>
              <w:right w:val="single" w:color="auto" w:sz="4" w:space="0"/>
            </w:tcBorders>
            <w:vAlign w:val="center"/>
          </w:tcPr>
          <w:p>
            <w:pPr>
              <w:pStyle w:val="19"/>
              <w:rPr>
                <w:rFonts w:cs="Times New Roman"/>
              </w:rPr>
            </w:pPr>
          </w:p>
        </w:tc>
        <w:tc>
          <w:tcPr>
            <w:tcW w:w="833" w:type="pct"/>
            <w:tcBorders>
              <w:top w:val="single" w:color="auto" w:sz="4" w:space="0"/>
              <w:left w:val="single" w:color="auto" w:sz="4" w:space="0"/>
              <w:bottom w:val="single" w:color="auto" w:sz="4" w:space="0"/>
              <w:right w:val="single" w:color="auto" w:sz="4" w:space="0"/>
            </w:tcBorders>
            <w:vAlign w:val="center"/>
          </w:tcPr>
          <w:p>
            <w:pPr>
              <w:pStyle w:val="19"/>
            </w:pPr>
            <w:r>
              <w:rPr>
                <w:rFonts w:hint="eastAsia"/>
              </w:rPr>
              <w:t xml:space="preserve">1792 </w:t>
            </w:r>
          </w:p>
        </w:tc>
        <w:tc>
          <w:tcPr>
            <w:tcW w:w="833" w:type="pct"/>
            <w:tcBorders>
              <w:top w:val="single" w:color="auto" w:sz="4" w:space="0"/>
              <w:left w:val="single" w:color="auto" w:sz="4" w:space="0"/>
              <w:bottom w:val="single" w:color="auto" w:sz="4" w:space="0"/>
              <w:right w:val="single" w:color="auto" w:sz="4" w:space="0"/>
            </w:tcBorders>
            <w:vAlign w:val="center"/>
          </w:tcPr>
          <w:p>
            <w:pPr>
              <w:pStyle w:val="19"/>
            </w:pPr>
            <w:r>
              <w:rPr>
                <w:rFonts w:hint="eastAsia"/>
              </w:rPr>
              <w:t xml:space="preserve">2905 </w:t>
            </w:r>
          </w:p>
        </w:tc>
        <w:tc>
          <w:tcPr>
            <w:tcW w:w="833" w:type="pct"/>
            <w:tcBorders>
              <w:top w:val="single" w:color="auto" w:sz="4" w:space="0"/>
              <w:left w:val="single" w:color="auto" w:sz="4" w:space="0"/>
              <w:bottom w:val="single" w:color="auto" w:sz="4" w:space="0"/>
              <w:right w:val="single" w:color="auto" w:sz="4" w:space="0"/>
            </w:tcBorders>
            <w:vAlign w:val="center"/>
          </w:tcPr>
          <w:p>
            <w:pPr>
              <w:pStyle w:val="19"/>
            </w:pPr>
            <w:r>
              <w:rPr>
                <w:rFonts w:hint="eastAsia"/>
              </w:rPr>
              <w:t>253.35</w:t>
            </w:r>
          </w:p>
        </w:tc>
        <w:tc>
          <w:tcPr>
            <w:tcW w:w="833" w:type="pct"/>
            <w:tcBorders>
              <w:top w:val="single" w:color="auto" w:sz="4" w:space="0"/>
              <w:left w:val="single" w:color="auto" w:sz="4" w:space="0"/>
              <w:bottom w:val="single" w:color="auto" w:sz="4" w:space="0"/>
              <w:right w:val="single" w:color="auto" w:sz="12" w:space="0"/>
            </w:tcBorders>
            <w:vAlign w:val="center"/>
          </w:tcPr>
          <w:p>
            <w:pPr>
              <w:pStyle w:val="19"/>
              <w:rPr>
                <w:rFonts w:cs="Times New Roman"/>
              </w:rPr>
            </w:pPr>
            <w:r>
              <w:rPr>
                <w:rFonts w:cs="Times New Roman"/>
              </w:rPr>
              <w:t>0:</w:t>
            </w:r>
            <w:r>
              <w:rPr>
                <w:rFonts w:hint="eastAsia" w:cs="Times New Roman"/>
              </w:rPr>
              <w:t>03</w:t>
            </w:r>
            <w:r>
              <w:rPr>
                <w:rFonts w:cs="Times New Roman"/>
              </w:rPr>
              <w:t>:</w:t>
            </w:r>
            <w:r>
              <w:rPr>
                <w:rFonts w:hint="eastAsia" w:cs="Times New Roman"/>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tcBorders>
              <w:top w:val="single" w:color="auto" w:sz="4" w:space="0"/>
              <w:left w:val="single" w:color="auto" w:sz="12" w:space="0"/>
              <w:bottom w:val="single" w:color="auto" w:sz="4" w:space="0"/>
              <w:right w:val="single" w:color="auto" w:sz="4" w:space="0"/>
            </w:tcBorders>
            <w:vAlign w:val="center"/>
          </w:tcPr>
          <w:p>
            <w:pPr>
              <w:pStyle w:val="19"/>
              <w:rPr>
                <w:rFonts w:cs="Times New Roman"/>
              </w:rPr>
            </w:pPr>
            <w:r>
              <w:rPr>
                <w:rFonts w:cs="Times New Roman"/>
              </w:rPr>
              <w:t>5</w:t>
            </w:r>
          </w:p>
        </w:tc>
        <w:tc>
          <w:tcPr>
            <w:tcW w:w="833" w:type="pct"/>
            <w:tcBorders>
              <w:top w:val="single" w:color="auto" w:sz="4" w:space="0"/>
              <w:left w:val="single" w:color="auto" w:sz="4" w:space="0"/>
              <w:bottom w:val="single" w:color="auto" w:sz="4" w:space="0"/>
              <w:right w:val="single" w:color="auto" w:sz="4" w:space="0"/>
            </w:tcBorders>
            <w:vAlign w:val="center"/>
          </w:tcPr>
          <w:p>
            <w:pPr>
              <w:pStyle w:val="19"/>
              <w:rPr>
                <w:rFonts w:cs="Times New Roman"/>
              </w:rPr>
            </w:pPr>
            <w:r>
              <w:rPr>
                <w:rFonts w:hint="eastAsia" w:cs="Times New Roman"/>
              </w:rPr>
              <w:t>彭家小院</w:t>
            </w:r>
          </w:p>
        </w:tc>
        <w:tc>
          <w:tcPr>
            <w:tcW w:w="833" w:type="pct"/>
            <w:tcBorders>
              <w:top w:val="single" w:color="auto" w:sz="4" w:space="0"/>
              <w:left w:val="single" w:color="auto" w:sz="4" w:space="0"/>
              <w:bottom w:val="single" w:color="auto" w:sz="4" w:space="0"/>
              <w:right w:val="single" w:color="auto" w:sz="4" w:space="0"/>
            </w:tcBorders>
            <w:vAlign w:val="center"/>
          </w:tcPr>
          <w:p>
            <w:pPr>
              <w:pStyle w:val="19"/>
            </w:pPr>
            <w:r>
              <w:rPr>
                <w:rFonts w:hint="eastAsia"/>
              </w:rPr>
              <w:t xml:space="preserve">2294 </w:t>
            </w:r>
          </w:p>
        </w:tc>
        <w:tc>
          <w:tcPr>
            <w:tcW w:w="833" w:type="pct"/>
            <w:tcBorders>
              <w:top w:val="single" w:color="auto" w:sz="4" w:space="0"/>
              <w:left w:val="single" w:color="auto" w:sz="4" w:space="0"/>
              <w:bottom w:val="single" w:color="auto" w:sz="4" w:space="0"/>
              <w:right w:val="single" w:color="auto" w:sz="4" w:space="0"/>
            </w:tcBorders>
            <w:vAlign w:val="center"/>
          </w:tcPr>
          <w:p>
            <w:pPr>
              <w:pStyle w:val="19"/>
            </w:pPr>
            <w:r>
              <w:rPr>
                <w:rFonts w:hint="eastAsia"/>
              </w:rPr>
              <w:t xml:space="preserve">2516 </w:t>
            </w:r>
          </w:p>
        </w:tc>
        <w:tc>
          <w:tcPr>
            <w:tcW w:w="833" w:type="pct"/>
            <w:tcBorders>
              <w:top w:val="single" w:color="auto" w:sz="4" w:space="0"/>
              <w:left w:val="single" w:color="auto" w:sz="4" w:space="0"/>
              <w:bottom w:val="single" w:color="auto" w:sz="4" w:space="0"/>
              <w:right w:val="single" w:color="auto" w:sz="4" w:space="0"/>
            </w:tcBorders>
            <w:vAlign w:val="center"/>
          </w:tcPr>
          <w:p>
            <w:pPr>
              <w:pStyle w:val="19"/>
            </w:pPr>
            <w:r>
              <w:rPr>
                <w:rFonts w:hint="eastAsia"/>
              </w:rPr>
              <w:t>250.46</w:t>
            </w:r>
          </w:p>
        </w:tc>
        <w:tc>
          <w:tcPr>
            <w:tcW w:w="833" w:type="pct"/>
            <w:tcBorders>
              <w:top w:val="single" w:color="auto" w:sz="4" w:space="0"/>
              <w:left w:val="single" w:color="auto" w:sz="4" w:space="0"/>
              <w:bottom w:val="single" w:color="auto" w:sz="4" w:space="0"/>
              <w:right w:val="single" w:color="auto" w:sz="12" w:space="0"/>
            </w:tcBorders>
            <w:vAlign w:val="center"/>
          </w:tcPr>
          <w:p>
            <w:pPr>
              <w:pStyle w:val="19"/>
              <w:rPr>
                <w:rFonts w:cs="Times New Roman"/>
              </w:rPr>
            </w:pPr>
            <w:r>
              <w:rPr>
                <w:rFonts w:cs="Times New Roman"/>
              </w:rPr>
              <w:t>0:</w:t>
            </w:r>
            <w:r>
              <w:rPr>
                <w:rFonts w:hint="eastAsia" w:cs="Times New Roman"/>
              </w:rPr>
              <w:t>05</w:t>
            </w:r>
            <w:r>
              <w:rPr>
                <w:rFonts w:cs="Times New Roman"/>
              </w:rPr>
              <w:t>:</w:t>
            </w:r>
            <w:r>
              <w:rPr>
                <w:rFonts w:hint="eastAsia" w:cs="Times New Roman"/>
              </w:rPr>
              <w:t>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tcBorders>
              <w:top w:val="single" w:color="auto" w:sz="4" w:space="0"/>
              <w:left w:val="single" w:color="auto" w:sz="12" w:space="0"/>
              <w:bottom w:val="single" w:color="auto" w:sz="4" w:space="0"/>
              <w:right w:val="single" w:color="auto" w:sz="4" w:space="0"/>
            </w:tcBorders>
            <w:vAlign w:val="center"/>
          </w:tcPr>
          <w:p>
            <w:pPr>
              <w:pStyle w:val="19"/>
              <w:rPr>
                <w:rFonts w:cs="Times New Roman"/>
              </w:rPr>
            </w:pPr>
            <w:r>
              <w:rPr>
                <w:rFonts w:hint="eastAsia" w:cs="Times New Roman"/>
              </w:rPr>
              <w:t>6</w:t>
            </w:r>
          </w:p>
        </w:tc>
        <w:tc>
          <w:tcPr>
            <w:tcW w:w="833" w:type="pct"/>
            <w:tcBorders>
              <w:top w:val="single" w:color="auto" w:sz="4" w:space="0"/>
              <w:left w:val="single" w:color="auto" w:sz="4" w:space="0"/>
              <w:bottom w:val="single" w:color="auto" w:sz="4" w:space="0"/>
              <w:right w:val="single" w:color="auto" w:sz="4" w:space="0"/>
            </w:tcBorders>
            <w:vAlign w:val="center"/>
          </w:tcPr>
          <w:p>
            <w:pPr>
              <w:pStyle w:val="19"/>
              <w:rPr>
                <w:rFonts w:cs="Times New Roman"/>
              </w:rPr>
            </w:pPr>
            <w:r>
              <w:rPr>
                <w:rFonts w:hint="eastAsia" w:cs="Times New Roman"/>
              </w:rPr>
              <w:t>穿眼洞</w:t>
            </w:r>
          </w:p>
        </w:tc>
        <w:tc>
          <w:tcPr>
            <w:tcW w:w="833" w:type="pct"/>
            <w:tcBorders>
              <w:top w:val="single" w:color="auto" w:sz="4" w:space="0"/>
              <w:left w:val="single" w:color="auto" w:sz="4" w:space="0"/>
              <w:bottom w:val="single" w:color="auto" w:sz="4" w:space="0"/>
              <w:right w:val="single" w:color="auto" w:sz="4" w:space="0"/>
            </w:tcBorders>
            <w:vAlign w:val="center"/>
          </w:tcPr>
          <w:p>
            <w:pPr>
              <w:pStyle w:val="19"/>
            </w:pPr>
            <w:r>
              <w:rPr>
                <w:rFonts w:hint="eastAsia"/>
              </w:rPr>
              <w:t xml:space="preserve">2741 </w:t>
            </w:r>
          </w:p>
        </w:tc>
        <w:tc>
          <w:tcPr>
            <w:tcW w:w="833" w:type="pct"/>
            <w:tcBorders>
              <w:top w:val="single" w:color="auto" w:sz="4" w:space="0"/>
              <w:left w:val="single" w:color="auto" w:sz="4" w:space="0"/>
              <w:bottom w:val="single" w:color="auto" w:sz="4" w:space="0"/>
              <w:right w:val="single" w:color="auto" w:sz="4" w:space="0"/>
            </w:tcBorders>
            <w:vAlign w:val="center"/>
          </w:tcPr>
          <w:p>
            <w:pPr>
              <w:pStyle w:val="19"/>
            </w:pPr>
            <w:r>
              <w:rPr>
                <w:rFonts w:hint="eastAsia"/>
              </w:rPr>
              <w:t xml:space="preserve">2247 </w:t>
            </w:r>
          </w:p>
        </w:tc>
        <w:tc>
          <w:tcPr>
            <w:tcW w:w="833" w:type="pct"/>
            <w:tcBorders>
              <w:top w:val="single" w:color="auto" w:sz="4" w:space="0"/>
              <w:left w:val="single" w:color="auto" w:sz="4" w:space="0"/>
              <w:bottom w:val="single" w:color="auto" w:sz="4" w:space="0"/>
              <w:right w:val="single" w:color="auto" w:sz="4" w:space="0"/>
            </w:tcBorders>
            <w:vAlign w:val="center"/>
          </w:tcPr>
          <w:p>
            <w:pPr>
              <w:pStyle w:val="19"/>
            </w:pPr>
            <w:r>
              <w:rPr>
                <w:rFonts w:hint="eastAsia"/>
              </w:rPr>
              <w:t>248.96</w:t>
            </w:r>
          </w:p>
        </w:tc>
        <w:tc>
          <w:tcPr>
            <w:tcW w:w="833" w:type="pct"/>
            <w:tcBorders>
              <w:top w:val="single" w:color="auto" w:sz="4" w:space="0"/>
              <w:left w:val="single" w:color="auto" w:sz="4" w:space="0"/>
              <w:bottom w:val="single" w:color="auto" w:sz="4" w:space="0"/>
              <w:right w:val="single" w:color="auto" w:sz="12" w:space="0"/>
            </w:tcBorders>
            <w:vAlign w:val="center"/>
          </w:tcPr>
          <w:p>
            <w:pPr>
              <w:pStyle w:val="19"/>
              <w:rPr>
                <w:rFonts w:cs="Times New Roman"/>
              </w:rPr>
            </w:pPr>
            <w:r>
              <w:rPr>
                <w:rFonts w:cs="Times New Roman"/>
              </w:rPr>
              <w:t>0:</w:t>
            </w:r>
            <w:r>
              <w:rPr>
                <w:rFonts w:hint="eastAsia" w:cs="Times New Roman"/>
              </w:rPr>
              <w:t>06</w:t>
            </w:r>
            <w:r>
              <w:rPr>
                <w:rFonts w:cs="Times New Roman"/>
              </w:rPr>
              <w:t>:</w:t>
            </w:r>
            <w:r>
              <w:rPr>
                <w:rFonts w:hint="eastAsia" w:cs="Times New Roman"/>
              </w:rPr>
              <w:t>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tcBorders>
              <w:top w:val="single" w:color="auto" w:sz="4" w:space="0"/>
              <w:left w:val="single" w:color="auto" w:sz="12" w:space="0"/>
              <w:bottom w:val="single" w:color="auto" w:sz="12" w:space="0"/>
              <w:right w:val="single" w:color="auto" w:sz="4" w:space="0"/>
            </w:tcBorders>
            <w:vAlign w:val="center"/>
          </w:tcPr>
          <w:p>
            <w:pPr>
              <w:pStyle w:val="19"/>
              <w:rPr>
                <w:rFonts w:cs="Times New Roman"/>
              </w:rPr>
            </w:pPr>
            <w:r>
              <w:rPr>
                <w:rFonts w:hint="eastAsia" w:cs="Times New Roman"/>
              </w:rPr>
              <w:t>7</w:t>
            </w:r>
          </w:p>
        </w:tc>
        <w:tc>
          <w:tcPr>
            <w:tcW w:w="833" w:type="pct"/>
            <w:tcBorders>
              <w:top w:val="single" w:color="auto" w:sz="4" w:space="0"/>
              <w:left w:val="single" w:color="auto" w:sz="4" w:space="0"/>
              <w:bottom w:val="single" w:color="auto" w:sz="12" w:space="0"/>
              <w:right w:val="single" w:color="auto" w:sz="4" w:space="0"/>
            </w:tcBorders>
            <w:vAlign w:val="center"/>
          </w:tcPr>
          <w:p>
            <w:pPr>
              <w:pStyle w:val="19"/>
              <w:rPr>
                <w:rFonts w:cs="Times New Roman"/>
              </w:rPr>
            </w:pPr>
            <w:r>
              <w:rPr>
                <w:rFonts w:hint="eastAsia" w:cs="Times New Roman"/>
              </w:rPr>
              <w:t>汇入</w:t>
            </w:r>
            <w:r>
              <w:rPr>
                <w:rFonts w:cs="Times New Roman"/>
              </w:rPr>
              <w:t>梁滩河口</w:t>
            </w:r>
          </w:p>
        </w:tc>
        <w:tc>
          <w:tcPr>
            <w:tcW w:w="833" w:type="pct"/>
            <w:tcBorders>
              <w:top w:val="single" w:color="auto" w:sz="4" w:space="0"/>
              <w:left w:val="single" w:color="auto" w:sz="4" w:space="0"/>
              <w:bottom w:val="single" w:color="auto" w:sz="12" w:space="0"/>
              <w:right w:val="single" w:color="auto" w:sz="4" w:space="0"/>
            </w:tcBorders>
            <w:vAlign w:val="center"/>
          </w:tcPr>
          <w:p>
            <w:pPr>
              <w:pStyle w:val="19"/>
            </w:pPr>
            <w:r>
              <w:rPr>
                <w:rFonts w:hint="eastAsia"/>
              </w:rPr>
              <w:t xml:space="preserve">3454 </w:t>
            </w:r>
          </w:p>
        </w:tc>
        <w:tc>
          <w:tcPr>
            <w:tcW w:w="833" w:type="pct"/>
            <w:tcBorders>
              <w:top w:val="single" w:color="auto" w:sz="4" w:space="0"/>
              <w:left w:val="single" w:color="auto" w:sz="4" w:space="0"/>
              <w:bottom w:val="single" w:color="auto" w:sz="12" w:space="0"/>
              <w:right w:val="single" w:color="auto" w:sz="4" w:space="0"/>
            </w:tcBorders>
            <w:vAlign w:val="center"/>
          </w:tcPr>
          <w:p>
            <w:pPr>
              <w:pStyle w:val="19"/>
            </w:pPr>
            <w:r>
              <w:rPr>
                <w:rFonts w:hint="eastAsia"/>
              </w:rPr>
              <w:t xml:space="preserve">1920 </w:t>
            </w:r>
          </w:p>
        </w:tc>
        <w:tc>
          <w:tcPr>
            <w:tcW w:w="833" w:type="pct"/>
            <w:tcBorders>
              <w:top w:val="single" w:color="auto" w:sz="4" w:space="0"/>
              <w:left w:val="single" w:color="auto" w:sz="4" w:space="0"/>
              <w:bottom w:val="single" w:color="auto" w:sz="12" w:space="0"/>
              <w:right w:val="single" w:color="auto" w:sz="4" w:space="0"/>
            </w:tcBorders>
            <w:vAlign w:val="center"/>
          </w:tcPr>
          <w:p>
            <w:pPr>
              <w:pStyle w:val="19"/>
            </w:pPr>
            <w:r>
              <w:rPr>
                <w:rFonts w:hint="eastAsia"/>
              </w:rPr>
              <w:t>248.25</w:t>
            </w:r>
          </w:p>
        </w:tc>
        <w:tc>
          <w:tcPr>
            <w:tcW w:w="833" w:type="pct"/>
            <w:tcBorders>
              <w:top w:val="single" w:color="auto" w:sz="4" w:space="0"/>
              <w:left w:val="single" w:color="auto" w:sz="4" w:space="0"/>
              <w:bottom w:val="single" w:color="auto" w:sz="12" w:space="0"/>
              <w:right w:val="single" w:color="auto" w:sz="12" w:space="0"/>
            </w:tcBorders>
            <w:vAlign w:val="center"/>
          </w:tcPr>
          <w:p>
            <w:pPr>
              <w:pStyle w:val="19"/>
              <w:rPr>
                <w:rFonts w:cs="Times New Roman"/>
              </w:rPr>
            </w:pPr>
            <w:r>
              <w:rPr>
                <w:rFonts w:cs="Times New Roman"/>
              </w:rPr>
              <w:t>0:</w:t>
            </w:r>
            <w:r>
              <w:rPr>
                <w:rFonts w:hint="eastAsia" w:cs="Times New Roman"/>
              </w:rPr>
              <w:t>09</w:t>
            </w:r>
            <w:r>
              <w:rPr>
                <w:rFonts w:cs="Times New Roman"/>
              </w:rPr>
              <w:t>:</w:t>
            </w:r>
            <w:r>
              <w:rPr>
                <w:rFonts w:hint="eastAsia" w:cs="Times New Roman"/>
              </w:rPr>
              <w:t>36</w:t>
            </w:r>
          </w:p>
        </w:tc>
      </w:tr>
    </w:tbl>
    <w:p>
      <w:pPr>
        <w:pStyle w:val="4"/>
        <w:spacing w:before="120" w:after="120"/>
      </w:pPr>
      <w:r>
        <w:t>3.2.4水库溃坝影响范围</w:t>
      </w:r>
    </w:p>
    <w:p>
      <w:pPr>
        <w:ind w:firstLine="480"/>
      </w:pPr>
      <w:r>
        <w:t>（1）溃坝洪水淹没范围</w:t>
      </w:r>
    </w:p>
    <w:p>
      <w:pPr>
        <w:ind w:firstLine="480"/>
      </w:pPr>
      <w:r>
        <w:t>工农水库发生溃坝时（最不利工况），由于流量极大，Q=6510m³/s，将对洪水淹没区内的人和物造成空前的破坏，将淹没下列村镇范围：沙坪坝区青木关镇管家桥村、青木湖村</w:t>
      </w:r>
      <w:r>
        <w:rPr>
          <w:rFonts w:hint="eastAsia"/>
        </w:rPr>
        <w:t>、</w:t>
      </w:r>
      <w:r>
        <w:t>凤凰镇威灵寺村，淹没面积约</w:t>
      </w:r>
      <w:r>
        <w:rPr>
          <w:rFonts w:hint="eastAsia"/>
        </w:rPr>
        <w:t>0.56</w:t>
      </w:r>
      <w:r>
        <w:t>km²。</w:t>
      </w:r>
    </w:p>
    <w:p>
      <w:pPr>
        <w:ind w:firstLine="480"/>
      </w:pPr>
      <w:r>
        <w:t>（2）淹没区生命损失、经济损失和社会环境影响分析</w:t>
      </w:r>
    </w:p>
    <w:p>
      <w:pPr>
        <w:ind w:firstLine="480"/>
      </w:pPr>
      <w:r>
        <w:t>工农水库一旦溃坝，将对坝址下游青木关镇</w:t>
      </w:r>
      <w:r>
        <w:rPr>
          <w:rFonts w:hint="eastAsia"/>
        </w:rPr>
        <w:t>、</w:t>
      </w:r>
      <w:r>
        <w:t>凤凰镇沿途造成难以估量的损失，其后果不堪设想。如遇超标准洪水或其他自然灾害重大突发事件造成水库溃坝时，坝址上游的石碾桥村库区范围可能发生滑坡，坝址下游青木关镇管家桥村、青木湖村，凤凰镇威灵寺村等地将被淹没，受影响人口约</w:t>
      </w:r>
      <w:r>
        <w:rPr>
          <w:rFonts w:hint="eastAsia"/>
        </w:rPr>
        <w:t>205</w:t>
      </w:r>
      <w:r>
        <w:t>人，淹没面积达</w:t>
      </w:r>
      <w:r>
        <w:rPr>
          <w:rFonts w:hint="eastAsia"/>
        </w:rPr>
        <w:t>0.56</w:t>
      </w:r>
      <w:r>
        <w:t>km²，并且溃坝洪水发生后，将对下游成渝环线高速、重庆绕城高速，库区319国道等重要交通要道和部分工况企业造成影响。受影响具体见下表3.2-3。</w:t>
      </w:r>
    </w:p>
    <w:p>
      <w:pPr>
        <w:pStyle w:val="18"/>
        <w:rPr>
          <w:rFonts w:cs="Times New Roman"/>
        </w:rPr>
      </w:pPr>
      <w:r>
        <w:rPr>
          <w:rFonts w:cs="Times New Roman"/>
        </w:rPr>
        <w:t>表3.2-3  工农水库溃坝影响区域内淹没指标统计表</w:t>
      </w:r>
    </w:p>
    <w:tbl>
      <w:tblPr>
        <w:tblStyle w:val="10"/>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034"/>
        <w:gridCol w:w="3040"/>
        <w:gridCol w:w="30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pct"/>
            <w:tcBorders>
              <w:top w:val="single" w:color="auto" w:sz="12" w:space="0"/>
              <w:left w:val="single" w:color="auto" w:sz="12" w:space="0"/>
              <w:bottom w:val="single" w:color="auto" w:sz="6" w:space="0"/>
              <w:right w:val="single" w:color="auto" w:sz="6" w:space="0"/>
            </w:tcBorders>
            <w:vAlign w:val="center"/>
          </w:tcPr>
          <w:p>
            <w:pPr>
              <w:pStyle w:val="19"/>
              <w:rPr>
                <w:rFonts w:cs="Times New Roman"/>
              </w:rPr>
            </w:pPr>
            <w:r>
              <w:rPr>
                <w:rFonts w:cs="Times New Roman"/>
              </w:rPr>
              <w:t>村镇</w:t>
            </w:r>
          </w:p>
        </w:tc>
        <w:tc>
          <w:tcPr>
            <w:tcW w:w="1667" w:type="pct"/>
            <w:tcBorders>
              <w:top w:val="single" w:color="auto" w:sz="12" w:space="0"/>
              <w:left w:val="single" w:color="auto" w:sz="6" w:space="0"/>
              <w:bottom w:val="single" w:color="auto" w:sz="6" w:space="0"/>
              <w:right w:val="single" w:color="auto" w:sz="6" w:space="0"/>
            </w:tcBorders>
            <w:vAlign w:val="center"/>
          </w:tcPr>
          <w:p>
            <w:pPr>
              <w:pStyle w:val="19"/>
              <w:rPr>
                <w:rFonts w:cs="Times New Roman"/>
              </w:rPr>
            </w:pPr>
            <w:r>
              <w:rPr>
                <w:rFonts w:hint="eastAsia" w:cs="Times New Roman"/>
              </w:rPr>
              <w:t>受灾</w:t>
            </w:r>
            <w:r>
              <w:rPr>
                <w:rFonts w:cs="Times New Roman"/>
              </w:rPr>
              <w:t>人口</w:t>
            </w:r>
            <w:r>
              <w:rPr>
                <w:rFonts w:hint="eastAsia" w:cs="Times New Roman"/>
              </w:rPr>
              <w:t>（人）</w:t>
            </w:r>
          </w:p>
        </w:tc>
        <w:tc>
          <w:tcPr>
            <w:tcW w:w="1667" w:type="pct"/>
            <w:tcBorders>
              <w:top w:val="single" w:color="auto" w:sz="12" w:space="0"/>
              <w:left w:val="single" w:color="auto" w:sz="6" w:space="0"/>
              <w:bottom w:val="single" w:color="auto" w:sz="6" w:space="0"/>
              <w:right w:val="single" w:color="auto" w:sz="12" w:space="0"/>
            </w:tcBorders>
            <w:vAlign w:val="center"/>
          </w:tcPr>
          <w:p>
            <w:pPr>
              <w:pStyle w:val="19"/>
              <w:rPr>
                <w:rFonts w:cs="Times New Roman"/>
              </w:rPr>
            </w:pPr>
            <w:r>
              <w:rPr>
                <w:rFonts w:cs="Times New Roman"/>
              </w:rPr>
              <w:t>淹没面积（km²）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pct"/>
            <w:tcBorders>
              <w:top w:val="single" w:color="auto" w:sz="6" w:space="0"/>
              <w:left w:val="single" w:color="auto" w:sz="12" w:space="0"/>
              <w:bottom w:val="single" w:color="auto" w:sz="6" w:space="0"/>
              <w:right w:val="single" w:color="auto" w:sz="6" w:space="0"/>
            </w:tcBorders>
            <w:vAlign w:val="center"/>
          </w:tcPr>
          <w:p>
            <w:pPr>
              <w:pStyle w:val="19"/>
              <w:rPr>
                <w:rFonts w:cs="Times New Roman"/>
              </w:rPr>
            </w:pPr>
            <w:r>
              <w:rPr>
                <w:rFonts w:cs="Times New Roman"/>
              </w:rPr>
              <w:t>青木关镇管家桥村</w:t>
            </w:r>
          </w:p>
        </w:tc>
        <w:tc>
          <w:tcPr>
            <w:tcW w:w="1667" w:type="pct"/>
            <w:tcBorders>
              <w:top w:val="single" w:color="auto" w:sz="6" w:space="0"/>
              <w:left w:val="single" w:color="auto" w:sz="6" w:space="0"/>
              <w:bottom w:val="single" w:color="auto" w:sz="6" w:space="0"/>
              <w:right w:val="single" w:color="auto" w:sz="6" w:space="0"/>
            </w:tcBorders>
            <w:vAlign w:val="center"/>
          </w:tcPr>
          <w:p>
            <w:pPr>
              <w:pStyle w:val="19"/>
              <w:rPr>
                <w:rFonts w:cs="Times New Roman"/>
              </w:rPr>
            </w:pPr>
            <w:r>
              <w:rPr>
                <w:rFonts w:hint="eastAsia" w:cs="Times New Roman"/>
              </w:rPr>
              <w:t>30</w:t>
            </w:r>
          </w:p>
        </w:tc>
        <w:tc>
          <w:tcPr>
            <w:tcW w:w="1667" w:type="pct"/>
            <w:tcBorders>
              <w:top w:val="single" w:color="auto" w:sz="6" w:space="0"/>
              <w:left w:val="single" w:color="auto" w:sz="6" w:space="0"/>
              <w:bottom w:val="single" w:color="auto" w:sz="6" w:space="0"/>
              <w:right w:val="single" w:color="auto" w:sz="12" w:space="0"/>
            </w:tcBorders>
            <w:vAlign w:val="center"/>
          </w:tcPr>
          <w:p>
            <w:pPr>
              <w:pStyle w:val="19"/>
              <w:rPr>
                <w:rFonts w:cs="Times New Roman"/>
              </w:rPr>
            </w:pPr>
            <w:r>
              <w:rPr>
                <w:rFonts w:cs="Times New Roman"/>
              </w:rPr>
              <w:t>0.</w:t>
            </w:r>
            <w:r>
              <w:rPr>
                <w:rFonts w:hint="eastAsia" w:cs="Times New Roman"/>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pct"/>
            <w:tcBorders>
              <w:top w:val="single" w:color="auto" w:sz="6" w:space="0"/>
              <w:left w:val="single" w:color="auto" w:sz="12" w:space="0"/>
              <w:bottom w:val="single" w:color="auto" w:sz="6" w:space="0"/>
              <w:right w:val="single" w:color="auto" w:sz="6" w:space="0"/>
            </w:tcBorders>
            <w:vAlign w:val="center"/>
          </w:tcPr>
          <w:p>
            <w:pPr>
              <w:pStyle w:val="19"/>
              <w:rPr>
                <w:rFonts w:cs="Times New Roman"/>
              </w:rPr>
            </w:pPr>
            <w:r>
              <w:rPr>
                <w:rFonts w:cs="Times New Roman"/>
              </w:rPr>
              <w:t>青木关镇青木湖村</w:t>
            </w:r>
          </w:p>
        </w:tc>
        <w:tc>
          <w:tcPr>
            <w:tcW w:w="1667" w:type="pct"/>
            <w:tcBorders>
              <w:top w:val="single" w:color="auto" w:sz="6" w:space="0"/>
              <w:left w:val="single" w:color="auto" w:sz="6" w:space="0"/>
              <w:bottom w:val="single" w:color="auto" w:sz="6" w:space="0"/>
              <w:right w:val="single" w:color="auto" w:sz="6" w:space="0"/>
            </w:tcBorders>
            <w:vAlign w:val="center"/>
          </w:tcPr>
          <w:p>
            <w:pPr>
              <w:pStyle w:val="19"/>
              <w:rPr>
                <w:rFonts w:cs="Times New Roman"/>
              </w:rPr>
            </w:pPr>
            <w:r>
              <w:rPr>
                <w:rFonts w:hint="eastAsia" w:cs="Times New Roman"/>
              </w:rPr>
              <w:t>72</w:t>
            </w:r>
          </w:p>
        </w:tc>
        <w:tc>
          <w:tcPr>
            <w:tcW w:w="1667" w:type="pct"/>
            <w:tcBorders>
              <w:top w:val="single" w:color="auto" w:sz="6" w:space="0"/>
              <w:left w:val="single" w:color="auto" w:sz="6" w:space="0"/>
              <w:bottom w:val="single" w:color="auto" w:sz="6" w:space="0"/>
              <w:right w:val="single" w:color="auto" w:sz="12" w:space="0"/>
            </w:tcBorders>
            <w:vAlign w:val="center"/>
          </w:tcPr>
          <w:p>
            <w:pPr>
              <w:pStyle w:val="19"/>
              <w:rPr>
                <w:rFonts w:cs="Times New Roman"/>
              </w:rPr>
            </w:pPr>
            <w:r>
              <w:rPr>
                <w:rFonts w:cs="Times New Roman"/>
              </w:rPr>
              <w:t>0.</w:t>
            </w:r>
            <w:r>
              <w:rPr>
                <w:rFonts w:hint="eastAsia" w:cs="Times New Roman"/>
              </w:rPr>
              <w:t>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pct"/>
            <w:tcBorders>
              <w:top w:val="single" w:color="auto" w:sz="6" w:space="0"/>
              <w:left w:val="single" w:color="auto" w:sz="12" w:space="0"/>
              <w:bottom w:val="single" w:color="auto" w:sz="6" w:space="0"/>
              <w:right w:val="single" w:color="auto" w:sz="6" w:space="0"/>
            </w:tcBorders>
            <w:vAlign w:val="center"/>
          </w:tcPr>
          <w:p>
            <w:pPr>
              <w:pStyle w:val="19"/>
              <w:rPr>
                <w:rFonts w:cs="Times New Roman"/>
              </w:rPr>
            </w:pPr>
            <w:r>
              <w:rPr>
                <w:rFonts w:cs="Times New Roman"/>
              </w:rPr>
              <w:t>凤凰镇威灵寺村</w:t>
            </w:r>
          </w:p>
        </w:tc>
        <w:tc>
          <w:tcPr>
            <w:tcW w:w="1667" w:type="pct"/>
            <w:tcBorders>
              <w:top w:val="single" w:color="auto" w:sz="6" w:space="0"/>
              <w:left w:val="single" w:color="auto" w:sz="6" w:space="0"/>
              <w:bottom w:val="single" w:color="auto" w:sz="6" w:space="0"/>
              <w:right w:val="single" w:color="auto" w:sz="6" w:space="0"/>
            </w:tcBorders>
            <w:vAlign w:val="center"/>
          </w:tcPr>
          <w:p>
            <w:pPr>
              <w:pStyle w:val="19"/>
              <w:rPr>
                <w:rFonts w:cs="Times New Roman"/>
              </w:rPr>
            </w:pPr>
            <w:r>
              <w:rPr>
                <w:rFonts w:hint="eastAsia" w:cs="Times New Roman"/>
              </w:rPr>
              <w:t>103</w:t>
            </w:r>
          </w:p>
        </w:tc>
        <w:tc>
          <w:tcPr>
            <w:tcW w:w="1667" w:type="pct"/>
            <w:tcBorders>
              <w:top w:val="single" w:color="auto" w:sz="6" w:space="0"/>
              <w:left w:val="single" w:color="auto" w:sz="6" w:space="0"/>
              <w:bottom w:val="single" w:color="auto" w:sz="6" w:space="0"/>
              <w:right w:val="single" w:color="auto" w:sz="12" w:space="0"/>
            </w:tcBorders>
            <w:vAlign w:val="center"/>
          </w:tcPr>
          <w:p>
            <w:pPr>
              <w:pStyle w:val="19"/>
              <w:rPr>
                <w:rFonts w:cs="Times New Roman"/>
              </w:rPr>
            </w:pPr>
            <w:r>
              <w:rPr>
                <w:rFonts w:cs="Times New Roman"/>
              </w:rPr>
              <w:t>0.</w:t>
            </w:r>
            <w:r>
              <w:rPr>
                <w:rFonts w:hint="eastAsia" w:cs="Times New Roman"/>
              </w:rPr>
              <w:t>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64" w:type="pct"/>
            <w:tcBorders>
              <w:top w:val="single" w:color="auto" w:sz="6" w:space="0"/>
              <w:left w:val="single" w:color="auto" w:sz="12" w:space="0"/>
              <w:bottom w:val="single" w:color="auto" w:sz="12" w:space="0"/>
              <w:right w:val="single" w:color="auto" w:sz="6" w:space="0"/>
            </w:tcBorders>
            <w:vAlign w:val="center"/>
          </w:tcPr>
          <w:p>
            <w:pPr>
              <w:pStyle w:val="19"/>
              <w:rPr>
                <w:rFonts w:cs="Times New Roman"/>
              </w:rPr>
            </w:pPr>
            <w:r>
              <w:rPr>
                <w:rFonts w:cs="Times New Roman"/>
              </w:rPr>
              <w:t>合计</w:t>
            </w:r>
          </w:p>
        </w:tc>
        <w:tc>
          <w:tcPr>
            <w:tcW w:w="1667" w:type="pct"/>
            <w:tcBorders>
              <w:top w:val="single" w:color="auto" w:sz="6" w:space="0"/>
              <w:left w:val="single" w:color="auto" w:sz="6" w:space="0"/>
              <w:bottom w:val="single" w:color="auto" w:sz="12" w:space="0"/>
              <w:right w:val="single" w:color="auto" w:sz="6" w:space="0"/>
            </w:tcBorders>
            <w:vAlign w:val="center"/>
          </w:tcPr>
          <w:p>
            <w:pPr>
              <w:pStyle w:val="19"/>
              <w:rPr>
                <w:rFonts w:cs="Times New Roman"/>
              </w:rPr>
            </w:pPr>
            <w:r>
              <w:rPr>
                <w:rFonts w:hint="eastAsia" w:cs="Times New Roman"/>
              </w:rPr>
              <w:t>205</w:t>
            </w:r>
          </w:p>
        </w:tc>
        <w:tc>
          <w:tcPr>
            <w:tcW w:w="1667" w:type="pct"/>
            <w:tcBorders>
              <w:top w:val="single" w:color="auto" w:sz="6" w:space="0"/>
              <w:left w:val="single" w:color="auto" w:sz="6" w:space="0"/>
              <w:bottom w:val="single" w:color="auto" w:sz="12" w:space="0"/>
              <w:right w:val="single" w:color="auto" w:sz="12" w:space="0"/>
            </w:tcBorders>
            <w:vAlign w:val="center"/>
          </w:tcPr>
          <w:p>
            <w:pPr>
              <w:pStyle w:val="19"/>
              <w:rPr>
                <w:rFonts w:cs="Times New Roman"/>
              </w:rPr>
            </w:pPr>
            <w:r>
              <w:rPr>
                <w:rFonts w:hint="eastAsia" w:cs="Times New Roman"/>
              </w:rPr>
              <w:t>0.56</w:t>
            </w:r>
          </w:p>
        </w:tc>
      </w:tr>
    </w:tbl>
    <w:p>
      <w:pPr>
        <w:ind w:firstLine="480"/>
      </w:pPr>
    </w:p>
    <w:p>
      <w:pPr>
        <w:ind w:firstLine="480"/>
        <w:sectPr>
          <w:pgSz w:w="11905" w:h="16838"/>
          <w:pgMar w:top="1417" w:right="1502" w:bottom="1417" w:left="1502" w:header="850" w:footer="992" w:gutter="0"/>
          <w:cols w:space="0" w:num="1"/>
          <w:docGrid w:linePitch="435" w:charSpace="0"/>
        </w:sectPr>
      </w:pPr>
    </w:p>
    <w:p>
      <w:pPr>
        <w:pStyle w:val="2"/>
        <w:spacing w:before="240" w:after="240"/>
      </w:pPr>
      <w:bookmarkStart w:id="30" w:name="_Toc17036"/>
      <w:bookmarkStart w:id="31" w:name="_Toc389224154"/>
      <w:r>
        <w:t>4险情监测与报告</w:t>
      </w:r>
      <w:bookmarkEnd w:id="30"/>
      <w:bookmarkEnd w:id="31"/>
    </w:p>
    <w:p>
      <w:pPr>
        <w:pStyle w:val="3"/>
        <w:spacing w:before="120" w:after="120"/>
      </w:pPr>
      <w:bookmarkStart w:id="32" w:name="_Toc10484"/>
      <w:bookmarkStart w:id="33" w:name="_Toc389224155"/>
      <w:r>
        <w:t>4.1险情监测和巡查</w:t>
      </w:r>
      <w:bookmarkEnd w:id="32"/>
      <w:bookmarkEnd w:id="33"/>
    </w:p>
    <w:p>
      <w:pPr>
        <w:pStyle w:val="4"/>
        <w:spacing w:before="120" w:after="120"/>
      </w:pPr>
      <w:r>
        <w:t>4.1.1监测项目及部位</w:t>
      </w:r>
    </w:p>
    <w:p>
      <w:pPr>
        <w:ind w:firstLine="480"/>
      </w:pPr>
      <w:r>
        <w:t>为提高水库应对突发事件的能力，镇人民政府和区水利、气象等部门，要针对水库大坝可能发生的各种突发事件，完善预测预警机制，开展风险分析，防患于未然。在日常生活中，沙坪坝区水库管理站对库区水情、大坝重点部位、设施等进行巡查监测。工程具体监测巡查项目、部位和内容如下：</w:t>
      </w:r>
    </w:p>
    <w:p>
      <w:pPr>
        <w:ind w:firstLine="480"/>
      </w:pPr>
      <w:r>
        <w:rPr>
          <w:rFonts w:hint="eastAsia"/>
        </w:rPr>
        <w:t>（1）</w:t>
      </w:r>
      <w:r>
        <w:t>大坝</w:t>
      </w:r>
    </w:p>
    <w:p>
      <w:pPr>
        <w:ind w:firstLine="480"/>
      </w:pPr>
      <w:r>
        <w:t>坝体是否有沉降或较大的位移；坝体有无裂缝，裂缝渗漏水情况；坝体渗漏水的漏水量和水质有无显著变化。</w:t>
      </w:r>
    </w:p>
    <w:p>
      <w:pPr>
        <w:ind w:firstLine="480"/>
      </w:pPr>
      <w:r>
        <w:rPr>
          <w:rFonts w:hint="eastAsia"/>
        </w:rPr>
        <w:t>（2）</w:t>
      </w:r>
      <w:r>
        <w:t>坝基和坝肩</w:t>
      </w:r>
    </w:p>
    <w:p>
      <w:pPr>
        <w:ind w:firstLine="480"/>
      </w:pPr>
      <w:r>
        <w:t xml:space="preserve">基础岩体有无挤压、错动、松动和鼓出；坝体与基岩（或岸坡）结合处有无错动、开裂、脱离及渗水等情况；两岸坝肩区有无裂缝、溶蚀及绕渗等情况。 </w:t>
      </w:r>
    </w:p>
    <w:p>
      <w:pPr>
        <w:ind w:firstLine="480"/>
      </w:pPr>
      <w:r>
        <w:rPr>
          <w:rFonts w:hint="eastAsia"/>
        </w:rPr>
        <w:t>（3）</w:t>
      </w:r>
      <w:r>
        <w:t>泄水建筑物</w:t>
      </w:r>
    </w:p>
    <w:p>
      <w:pPr>
        <w:ind w:firstLine="480"/>
      </w:pPr>
      <w:r>
        <w:t xml:space="preserve">溢洪道的进口溢流面有无裂缝和损伤；消能设施有无磨损冲蚀和淤积情况；下游河床和岸坡的冲刷和淤积情况。 </w:t>
      </w:r>
    </w:p>
    <w:p>
      <w:pPr>
        <w:ind w:firstLine="480"/>
      </w:pPr>
      <w:r>
        <w:t>（4）放水</w:t>
      </w:r>
      <w:r>
        <w:rPr>
          <w:rFonts w:hint="eastAsia"/>
        </w:rPr>
        <w:t>（放空）</w:t>
      </w:r>
      <w:r>
        <w:t>设施</w:t>
      </w:r>
    </w:p>
    <w:p>
      <w:pPr>
        <w:ind w:firstLine="480"/>
      </w:pPr>
      <w:r>
        <w:t>放水隧洞有无垮塌、放水闸阀、闸门有无锈蚀。</w:t>
      </w:r>
    </w:p>
    <w:p>
      <w:pPr>
        <w:ind w:firstLine="480"/>
      </w:pPr>
      <w:r>
        <w:t xml:space="preserve">（5）岸坡 </w:t>
      </w:r>
    </w:p>
    <w:p>
      <w:pPr>
        <w:ind w:firstLine="480"/>
      </w:pPr>
      <w:r>
        <w:t xml:space="preserve">地下水露头及绕坝渗流情况；岸坡有无冲刷、塌陷、裂缝及滑移迹象。 </w:t>
      </w:r>
    </w:p>
    <w:p>
      <w:pPr>
        <w:pStyle w:val="4"/>
        <w:spacing w:before="120" w:after="120"/>
      </w:pPr>
      <w:r>
        <w:t>4.1.2险情巡查及处理程序</w:t>
      </w:r>
    </w:p>
    <w:p>
      <w:pPr>
        <w:ind w:firstLine="480"/>
      </w:pPr>
      <w:bookmarkStart w:id="34" w:name="_Toc389224156"/>
      <w:r>
        <w:rPr>
          <w:rFonts w:hint="eastAsia"/>
        </w:rPr>
        <w:t>在防汛期间或可能造成水库险情的隐患产生时，应</w:t>
      </w:r>
      <w:r>
        <w:t>加强水情、雨情的观测</w:t>
      </w:r>
      <w:r>
        <w:rPr>
          <w:rFonts w:hint="eastAsia"/>
        </w:rPr>
        <w:t>、收集</w:t>
      </w:r>
      <w:r>
        <w:t>，随时做好汇报。水库管理人员组成险情巡查队，对水库大坝进行24h巡查，巡查队分2个组，每组2人，24h轮流巡查，视水情、险情灵活安排人员，交接班必须紧密衔接，接班人员提前上班，由当班值班人员到现场交待详细情况。巡查人员着重对大坝内外</w:t>
      </w:r>
      <w:r>
        <w:rPr>
          <w:rFonts w:hint="eastAsia"/>
        </w:rPr>
        <w:t>面</w:t>
      </w:r>
      <w:r>
        <w:t>、坝脚等重要部位进行检查，是否存在渗水、裂缝、漏洞等险情和库区内山体情况，检查溢洪道各部位是否有淤积或坍塌堵塞现象，溢洪道前有无难以通过</w:t>
      </w:r>
      <w:r>
        <w:rPr>
          <w:rFonts w:hint="eastAsia"/>
        </w:rPr>
        <w:t>的障碍物</w:t>
      </w:r>
      <w:r>
        <w:t>，避免造成泄洪困难，做好现场检查记录，发现险情及时汇报。</w:t>
      </w:r>
    </w:p>
    <w:p>
      <w:pPr>
        <w:pStyle w:val="3"/>
        <w:spacing w:before="120" w:after="120"/>
      </w:pPr>
      <w:bookmarkStart w:id="35" w:name="_Toc26152"/>
      <w:r>
        <w:t>4.2险情上报与通报</w:t>
      </w:r>
      <w:bookmarkEnd w:id="34"/>
      <w:bookmarkEnd w:id="35"/>
    </w:p>
    <w:p>
      <w:pPr>
        <w:ind w:firstLine="480"/>
      </w:pPr>
      <w:r>
        <w:t>沙坪坝区水库管理站通过沙坪坝气象</w:t>
      </w:r>
      <w:r>
        <w:rPr>
          <w:rFonts w:hint="eastAsia"/>
        </w:rPr>
        <w:t>局</w:t>
      </w:r>
      <w:r>
        <w:t>、防汛办提供的水文、气象等汛情信息，对水库工程的雨量、水位、库容、流量、工情、险情等进行监测，以及水库下游受影响区域的汛情信息的收集，确定对下游场镇及重要建筑物的影响程度。</w:t>
      </w:r>
    </w:p>
    <w:p>
      <w:pPr>
        <w:ind w:firstLine="480"/>
      </w:pPr>
      <w:r>
        <w:t>当发现险情后，沙坪坝区水库管理站应在第一时间通过有线或无线电话向青木关镇防汛抗旱指挥部及沙坪坝区防汛抗旱指挥部准确报告出险部位、险情种类。沙坪坝区防汛抗旱指挥部通过电话、电视台、广播、宣传车等形式向可能淹没区域的青木关镇人民政府</w:t>
      </w:r>
      <w:r>
        <w:rPr>
          <w:rFonts w:hint="eastAsia"/>
        </w:rPr>
        <w:t>、凤凰镇</w:t>
      </w:r>
      <w:r>
        <w:t>人民政府通报并发出预警信息</w:t>
      </w:r>
      <w:r>
        <w:rPr>
          <w:rFonts w:hint="eastAsia"/>
        </w:rPr>
        <w:t>。</w:t>
      </w:r>
    </w:p>
    <w:p>
      <w:pPr>
        <w:pStyle w:val="4"/>
        <w:spacing w:before="120" w:after="120"/>
      </w:pPr>
      <w:r>
        <w:t>4.2.1防汛值班制度</w:t>
      </w:r>
    </w:p>
    <w:p>
      <w:pPr>
        <w:ind w:firstLine="480"/>
      </w:pPr>
      <w:r>
        <w:t>为做好防汛值班工作，树立“安全第一，常备不懈，以防为主，全力抢险”防汛指针，立足于“来大水，防大洪”，防患于未然，尽可能减少防洪损失。根据《防洪法》、《重庆市防汛</w:t>
      </w:r>
      <w:r>
        <w:rPr>
          <w:rFonts w:hint="eastAsia"/>
          <w:lang w:eastAsia="zh-CN"/>
        </w:rPr>
        <w:t>抗旱</w:t>
      </w:r>
      <w:r>
        <w:t>条例》等法律法规及有关</w:t>
      </w:r>
      <w:r>
        <w:rPr>
          <w:rFonts w:hint="eastAsia"/>
        </w:rPr>
        <w:t>规定</w:t>
      </w:r>
      <w:r>
        <w:t>，</w:t>
      </w:r>
      <w:r>
        <w:rPr>
          <w:rFonts w:hint="eastAsia"/>
        </w:rPr>
        <w:t>沙坪坝区水库实行集中管理，</w:t>
      </w:r>
      <w:r>
        <w:t>结合工农水库实际情况，制定了严格的值班制度。</w:t>
      </w:r>
    </w:p>
    <w:p>
      <w:pPr>
        <w:ind w:firstLine="480"/>
      </w:pPr>
      <w:r>
        <w:t>（1）值班人员应加强责任</w:t>
      </w:r>
      <w:r>
        <w:rPr>
          <w:rFonts w:hint="eastAsia"/>
        </w:rPr>
        <w:t>感</w:t>
      </w:r>
      <w:r>
        <w:t>，严守工作岗位，认真做好防汛报汛值班工作，不得擅自脱岗离岗，确保24小时值班，值班人员遇事不能值班的，报告上级做好调班工作。</w:t>
      </w:r>
    </w:p>
    <w:p>
      <w:pPr>
        <w:ind w:firstLine="480"/>
      </w:pPr>
      <w:r>
        <w:t>（2）严格按照市、区防汛主管部门要求，做好防汛报汛工作，做到“四不”（不错报、不迟报、不缺报、不漏报），同时双休日做好观测工作。</w:t>
      </w:r>
    </w:p>
    <w:p>
      <w:pPr>
        <w:ind w:firstLine="480"/>
      </w:pPr>
      <w:r>
        <w:t>（3）收听天气预报，掌握气象情况，随时注意天气变化情况，并及时记录；认真做好防汛值班记录，上级领导下达的各项指示，及时记录并汇报的有关领导。发现异常情况，及时向值班带班领导或主管领导报告。</w:t>
      </w:r>
    </w:p>
    <w:p>
      <w:pPr>
        <w:ind w:firstLine="480"/>
      </w:pPr>
      <w:r>
        <w:t>（</w:t>
      </w:r>
      <w:r>
        <w:rPr>
          <w:rFonts w:hint="eastAsia"/>
        </w:rPr>
        <w:t>4</w:t>
      </w:r>
      <w:r>
        <w:t>）严格遵守管理制度。爱护公物，值班期间，不准</w:t>
      </w:r>
      <w:r>
        <w:rPr>
          <w:rFonts w:hint="eastAsia"/>
        </w:rPr>
        <w:t>干与防汛工作无关的事情</w:t>
      </w:r>
      <w:r>
        <w:t>，没有领导批准，外来人员一律不准进入办公区域。</w:t>
      </w:r>
    </w:p>
    <w:p>
      <w:pPr>
        <w:pStyle w:val="4"/>
        <w:spacing w:before="120" w:after="120"/>
      </w:pPr>
      <w:r>
        <w:t>4.2.2上报内容</w:t>
      </w:r>
    </w:p>
    <w:p>
      <w:pPr>
        <w:ind w:firstLine="480"/>
      </w:pPr>
      <w:r>
        <w:t>险情种类、性质、地点部位、影响范围、险情发展程度及可能带来的灾害。</w:t>
      </w:r>
    </w:p>
    <w:p>
      <w:pPr>
        <w:pStyle w:val="4"/>
        <w:spacing w:before="120" w:after="120"/>
      </w:pPr>
      <w:r>
        <w:t>4.2.3上报</w:t>
      </w:r>
      <w:r>
        <w:rPr>
          <w:rFonts w:hint="eastAsia"/>
        </w:rPr>
        <w:t>程序</w:t>
      </w:r>
    </w:p>
    <w:p>
      <w:pPr>
        <w:ind w:firstLine="480"/>
      </w:pPr>
      <w:r>
        <w:rPr>
          <w:rFonts w:hint="eastAsia"/>
        </w:rPr>
        <w:t>工农</w:t>
      </w:r>
      <w:r>
        <w:t>水库巡查人员—沙坪坝区水库管理站—沙坪坝区防汛抗旱指挥部。</w:t>
      </w:r>
    </w:p>
    <w:p>
      <w:pPr>
        <w:pStyle w:val="4"/>
        <w:spacing w:before="120" w:after="120"/>
      </w:pPr>
      <w:r>
        <w:t>4.2.4上报频次及联络方式</w:t>
      </w:r>
    </w:p>
    <w:p>
      <w:pPr>
        <w:ind w:firstLine="480"/>
        <w:rPr>
          <w:szCs w:val="28"/>
        </w:rPr>
      </w:pPr>
      <w:r>
        <w:t>上报、通报频次规定24小时内不少3次，发现险情立即上报，同时视险情严重情况可增加上报、通报次数，以及时、准确传递险情发生程度为标准，联络方式采用通讯联络和直接联络相结合，以最快捷、方便为标准联络。</w:t>
      </w:r>
    </w:p>
    <w:p>
      <w:pPr>
        <w:ind w:firstLine="560"/>
        <w:rPr>
          <w:sz w:val="28"/>
          <w:szCs w:val="28"/>
        </w:rPr>
        <w:sectPr>
          <w:headerReference r:id="rId12" w:type="first"/>
          <w:pgSz w:w="11905" w:h="16838"/>
          <w:pgMar w:top="1417" w:right="1502" w:bottom="1417" w:left="1502" w:header="850" w:footer="992" w:gutter="0"/>
          <w:cols w:space="0" w:num="1"/>
          <w:docGrid w:linePitch="435" w:charSpace="0"/>
        </w:sectPr>
      </w:pPr>
    </w:p>
    <w:p>
      <w:pPr>
        <w:pStyle w:val="2"/>
        <w:spacing w:before="240" w:after="240"/>
      </w:pPr>
      <w:bookmarkStart w:id="36" w:name="_Toc389224157"/>
      <w:bookmarkStart w:id="37" w:name="_Toc30836"/>
      <w:r>
        <w:t>5险情抢护</w:t>
      </w:r>
      <w:bookmarkEnd w:id="36"/>
      <w:bookmarkEnd w:id="37"/>
    </w:p>
    <w:p>
      <w:pPr>
        <w:ind w:firstLine="480"/>
      </w:pPr>
      <w:r>
        <w:t>为避免水库发生溃坝事故，除在日常做好大坝等各类建筑物的监测、维护外，特别是在汛期洪水威胁水库安全情况下，本着预防为主、防重于抢的原则，对水库重点工程部位拟定应急抢护措施，尽最大可能减小灾害损失。</w:t>
      </w:r>
    </w:p>
    <w:p>
      <w:pPr>
        <w:ind w:firstLine="480"/>
      </w:pPr>
      <w:r>
        <w:t>工农水库要加强对沙坪坝区气象局有关水情及预报资料的收集，同时对洪水发生和变化过程作出科学预测，提高防汛调度的科学性和预见性。</w:t>
      </w:r>
    </w:p>
    <w:p>
      <w:pPr>
        <w:pStyle w:val="3"/>
        <w:spacing w:before="120" w:after="120"/>
      </w:pPr>
      <w:bookmarkStart w:id="38" w:name="_Toc389224158"/>
      <w:bookmarkStart w:id="39" w:name="_Toc21062"/>
      <w:r>
        <w:t>5.1抢险调度</w:t>
      </w:r>
      <w:bookmarkEnd w:id="38"/>
      <w:bookmarkEnd w:id="39"/>
    </w:p>
    <w:p>
      <w:pPr>
        <w:ind w:firstLine="480"/>
      </w:pPr>
      <w:r>
        <w:t>水库的险情，根据工程类别分为大坝险情、主要附属建筑物险情（溢洪道）、近坝山体险情、超标准洪水险情。按照形成原因和现象特征，工农水库险情分为渗水、漏洞、裂缝、漫溢等。此外，考虑人为的恐怖活动等其他因素。</w:t>
      </w:r>
    </w:p>
    <w:p>
      <w:pPr>
        <w:pStyle w:val="4"/>
        <w:spacing w:before="120" w:after="120"/>
      </w:pPr>
      <w:r>
        <w:t>5.1.1不同等级险情抢险调度权限划分</w:t>
      </w:r>
    </w:p>
    <w:p>
      <w:pPr>
        <w:ind w:firstLine="480"/>
      </w:pPr>
      <w:r>
        <w:t>根据《重庆市水库（水电站）防洪抢险应急预案编制大纲》</w:t>
      </w:r>
      <w:r>
        <w:rPr>
          <w:rFonts w:hint="eastAsia"/>
        </w:rPr>
        <w:t>，</w:t>
      </w:r>
      <w:r>
        <w:t>并结合沙坪坝区</w:t>
      </w:r>
      <w:r>
        <w:rPr>
          <w:rFonts w:hint="eastAsia"/>
        </w:rPr>
        <w:t>及工农水库</w:t>
      </w:r>
      <w:r>
        <w:t>实际情况，将险情分为4级。</w:t>
      </w:r>
    </w:p>
    <w:p>
      <w:pPr>
        <w:ind w:firstLine="480"/>
      </w:pPr>
      <w:r>
        <w:t>Ⅳ级：当水位介于正常蓄水位270.36m和设计洪水位272.65m之间，</w:t>
      </w:r>
      <w:r>
        <w:rPr>
          <w:rFonts w:hint="eastAsia"/>
        </w:rPr>
        <w:t>或</w:t>
      </w:r>
      <w:r>
        <w:t>预计出现6h小时降雨量超过80mm。</w:t>
      </w:r>
    </w:p>
    <w:p>
      <w:pPr>
        <w:ind w:firstLine="480"/>
      </w:pPr>
      <w:r>
        <w:t>水库管理单位沙坪坝区水库管理站向沙坪坝区农业农村委员会报告，由防汛抢险专家组核实，确定险情等级为Ⅳ级时，由沙坪坝区农业农村委员会发布预警信息，成立以沙坪坝区农业农村委员会主要领导任指挥长，有关单位为成员的水库应急抢险指挥部，做出相应工作部署，启动Ⅳ级响应行动。</w:t>
      </w:r>
    </w:p>
    <w:p>
      <w:pPr>
        <w:ind w:firstLine="480"/>
      </w:pPr>
      <w:r>
        <w:t>Ⅲ级：当水位介于设计洪水位272.65m和</w:t>
      </w:r>
      <w:r>
        <w:rPr>
          <w:rFonts w:hint="eastAsia"/>
        </w:rPr>
        <w:t>100年一遇</w:t>
      </w:r>
      <w:r>
        <w:t>洪水位272.74m之间，</w:t>
      </w:r>
      <w:r>
        <w:rPr>
          <w:rFonts w:hint="eastAsia"/>
        </w:rPr>
        <w:t>或</w:t>
      </w:r>
      <w:r>
        <w:t>预计出现3小时降雨量达到100mm，或24小时降雨量150mm以上时。</w:t>
      </w:r>
    </w:p>
    <w:p>
      <w:pPr>
        <w:ind w:firstLine="480"/>
      </w:pPr>
      <w:r>
        <w:t>水库管理单位沙坪坝区水库管理站向沙坪坝区防汛抗旱指挥部报告，由防汛抢险专家组核实，确定险情等级为Ⅲ级时，由沙坪坝区防汛抗旱指挥部发布预警信息，成立以沙坪坝区防汛抗旱指挥部副指挥长任指挥长，有关单位为成员的水库应急抢险指挥部，做出相应工作部署，启动Ⅲ级响应行动。</w:t>
      </w:r>
    </w:p>
    <w:p>
      <w:pPr>
        <w:ind w:firstLine="480"/>
      </w:pPr>
      <w:r>
        <w:t>Ⅱ级：当水位介于</w:t>
      </w:r>
      <w:r>
        <w:rPr>
          <w:rFonts w:hint="eastAsia"/>
        </w:rPr>
        <w:t>100年一遇</w:t>
      </w:r>
      <w:r>
        <w:t>洪水位272.65m和校核洪水位273.43m之间，</w:t>
      </w:r>
      <w:r>
        <w:rPr>
          <w:rFonts w:hint="eastAsia"/>
        </w:rPr>
        <w:t>或</w:t>
      </w:r>
      <w:r>
        <w:t>预计出现</w:t>
      </w:r>
      <w:r>
        <w:rPr>
          <w:rFonts w:hint="eastAsia"/>
        </w:rPr>
        <w:t>3小时降雨量达到120mm，或24小时降雨量250mm以上。</w:t>
      </w:r>
    </w:p>
    <w:p>
      <w:pPr>
        <w:ind w:firstLine="480"/>
      </w:pPr>
      <w:r>
        <w:t>水库管理单位沙坪坝区水库管理站向沙坪坝区防汛抗旱指挥部报告，由防汛抢险专家组核实，确定险情等级为Ⅱ级时，由沙坪坝区防汛抗旱指挥部发布预警信息，成立以沙坪坝区防汛抗旱指挥部副指挥长任指挥长，有关单位为成员的水库应急抢险指挥部，做出相应工作部署，启动Ⅱ级响应行动。</w:t>
      </w:r>
    </w:p>
    <w:p>
      <w:pPr>
        <w:ind w:firstLine="480"/>
      </w:pPr>
      <w:r>
        <w:t>Ⅰ级：当水位</w:t>
      </w:r>
      <w:r>
        <w:rPr>
          <w:rFonts w:hint="eastAsia"/>
        </w:rPr>
        <w:t>超过</w:t>
      </w:r>
      <w:r>
        <w:t>校核洪水位273.43m时，</w:t>
      </w:r>
      <w:r>
        <w:rPr>
          <w:rFonts w:hint="eastAsia"/>
        </w:rPr>
        <w:t>或</w:t>
      </w:r>
      <w:r>
        <w:t>预计出现3小时降雨超过150mm，24小时降雨量达到300mm以上。</w:t>
      </w:r>
    </w:p>
    <w:p>
      <w:pPr>
        <w:ind w:firstLine="480"/>
        <w:rPr>
          <w:szCs w:val="22"/>
        </w:rPr>
      </w:pPr>
      <w:r>
        <w:t>水库管理单位沙坪坝区水库管理站向沙坪坝区防汛抗旱指挥部报告，由防汛抢险专家组核实，确定险情等级为Ⅰ级时，由沙坪坝区防汛抗旱指挥部发布预警信息</w:t>
      </w:r>
      <w:r>
        <w:rPr>
          <w:szCs w:val="22"/>
        </w:rPr>
        <w:t>，成立</w:t>
      </w:r>
      <w:r>
        <w:t>以沙坪坝区防汛抗旱指挥部指挥长任指挥长</w:t>
      </w:r>
      <w:r>
        <w:rPr>
          <w:szCs w:val="22"/>
        </w:rPr>
        <w:t>，有关单位为成员的水库应急抢险指挥部，做出相应工作部署，并及时上报重庆市防汛抗旱指挥部，启动Ⅰ级响应行动。</w:t>
      </w:r>
    </w:p>
    <w:p>
      <w:pPr>
        <w:pStyle w:val="4"/>
        <w:spacing w:before="120" w:after="120"/>
      </w:pPr>
      <w:r>
        <w:t>5.1.2险情调度方案</w:t>
      </w:r>
    </w:p>
    <w:p>
      <w:pPr>
        <w:ind w:firstLine="480"/>
      </w:pPr>
      <w:r>
        <w:t>工农水库防洪调度要服从</w:t>
      </w:r>
      <w:r>
        <w:rPr>
          <w:rFonts w:hint="eastAsia"/>
        </w:rPr>
        <w:t>沙坪坝区防汛抗旱指挥部</w:t>
      </w:r>
      <w:r>
        <w:t>的统一指挥，严格按照下达的汛期控制运行水位科学调度。正常运行情况下，工农水库以正常蓄水位为起调水位。当水库水位低于正常蓄水位时，对洪水进行拦蓄；当水位高于正常蓄水位时，溢洪道自由溢流；洪峰过后，水库水位回降至正常蓄水位。</w:t>
      </w:r>
    </w:p>
    <w:p>
      <w:pPr>
        <w:ind w:firstLine="480"/>
      </w:pPr>
      <w:r>
        <w:t>工农水库的防洪能力达到了规划设计标准，校核洪水位、设计洪水位等直接采用</w:t>
      </w:r>
      <w:r>
        <w:rPr>
          <w:rFonts w:hint="eastAsia"/>
        </w:rPr>
        <w:t>最新审查通过的</w:t>
      </w:r>
      <w:r>
        <w:t>水库大坝安全评价成果（校核洪水位</w:t>
      </w:r>
      <w:r>
        <w:rPr>
          <w:rFonts w:hint="eastAsia"/>
        </w:rPr>
        <w:t>为</w:t>
      </w:r>
      <w:r>
        <w:t>273.43m，设计洪水位</w:t>
      </w:r>
      <w:r>
        <w:rPr>
          <w:rFonts w:hint="eastAsia"/>
        </w:rPr>
        <w:t>为</w:t>
      </w:r>
      <w:r>
        <w:t>272.65m，正常蓄水位</w:t>
      </w:r>
      <w:r>
        <w:rPr>
          <w:rFonts w:hint="eastAsia"/>
        </w:rPr>
        <w:t>为</w:t>
      </w:r>
      <w:r>
        <w:t>270.36m，死水位</w:t>
      </w:r>
      <w:r>
        <w:rPr>
          <w:rFonts w:hint="eastAsia"/>
        </w:rPr>
        <w:t>为</w:t>
      </w:r>
      <w:r>
        <w:t>258.60m）。</w:t>
      </w:r>
    </w:p>
    <w:p>
      <w:pPr>
        <w:ind w:firstLine="480"/>
      </w:pPr>
      <w:r>
        <w:rPr>
          <w:rFonts w:hint="eastAsia"/>
        </w:rPr>
        <w:t>（1）</w:t>
      </w:r>
      <w:r>
        <w:t>超过下游河道防洪标准的应急调度。如超过下游河道</w:t>
      </w:r>
      <w:r>
        <w:rPr>
          <w:rFonts w:hint="eastAsia"/>
        </w:rPr>
        <w:t>100年一遇设计</w:t>
      </w:r>
      <w:r>
        <w:t>防洪标准，应向下游可能受到洪水威胁的居民发出洪水警报，启动相应应急预案；并密切关注库区洪水位变化情况，注意接收进一步洪水警报。</w:t>
      </w:r>
    </w:p>
    <w:p>
      <w:pPr>
        <w:ind w:firstLine="480"/>
      </w:pPr>
      <w:r>
        <w:fldChar w:fldCharType="begin"/>
      </w:r>
      <w:r>
        <w:instrText xml:space="preserve">=1\*GB2</w:instrText>
      </w:r>
      <w:r>
        <w:fldChar w:fldCharType="separate"/>
      </w:r>
      <w:r>
        <w:t>（</w:t>
      </w:r>
      <w:r>
        <w:rPr>
          <w:rFonts w:hint="eastAsia"/>
        </w:rPr>
        <w:t>2</w:t>
      </w:r>
      <w:r>
        <w:t>）</w:t>
      </w:r>
      <w:r>
        <w:fldChar w:fldCharType="end"/>
      </w:r>
      <w:r>
        <w:t>在500年一遇及以下洪水时，采用汛期调度运用计划中正常运行情况下泄洪方式进行洪水调度；</w:t>
      </w:r>
    </w:p>
    <w:p>
      <w:pPr>
        <w:ind w:firstLine="480"/>
      </w:pPr>
      <w:r>
        <w:fldChar w:fldCharType="begin"/>
      </w:r>
      <w:r>
        <w:instrText xml:space="preserve">=2\*GB2</w:instrText>
      </w:r>
      <w:r>
        <w:fldChar w:fldCharType="separate"/>
      </w:r>
      <w:r>
        <w:t>（</w:t>
      </w:r>
      <w:r>
        <w:rPr>
          <w:rFonts w:hint="eastAsia"/>
        </w:rPr>
        <w:t>3</w:t>
      </w:r>
      <w:r>
        <w:t>）</w:t>
      </w:r>
      <w:r>
        <w:fldChar w:fldCharType="end"/>
      </w:r>
      <w:r>
        <w:t>工农水库经洪水调度坝前水位超过273.43m或24h降雨量大于300mm时，此时应采取下列防洪抢险措施：立即向下游发出超标准洪水紧急警报。各级防汛领导小组、防洪抢险队撤至安全地点，集合待命，以应付险情。在保证安全的前提下，工农水库防洪抢险队伍应服从沙坪坝区防汛</w:t>
      </w:r>
      <w:r>
        <w:rPr>
          <w:rFonts w:hint="eastAsia"/>
        </w:rPr>
        <w:t>抗旱</w:t>
      </w:r>
      <w:r>
        <w:t>指挥部的统一指挥，由</w:t>
      </w:r>
      <w:r>
        <w:rPr>
          <w:rFonts w:hint="eastAsia"/>
        </w:rPr>
        <w:t>青木关镇</w:t>
      </w:r>
      <w:r>
        <w:t>防汛</w:t>
      </w:r>
      <w:r>
        <w:rPr>
          <w:rFonts w:hint="eastAsia"/>
        </w:rPr>
        <w:t>抗旱</w:t>
      </w:r>
      <w:r>
        <w:t>指挥部组织力量力保主坝安全。</w:t>
      </w:r>
    </w:p>
    <w:p>
      <w:pPr>
        <w:ind w:firstLine="480"/>
      </w:pPr>
      <w:r>
        <w:fldChar w:fldCharType="begin"/>
      </w:r>
      <w:r>
        <w:instrText xml:space="preserve">=3\*GB2</w:instrText>
      </w:r>
      <w:r>
        <w:fldChar w:fldCharType="separate"/>
      </w:r>
      <w:r>
        <w:t>（</w:t>
      </w:r>
      <w:r>
        <w:rPr>
          <w:rFonts w:hint="eastAsia"/>
        </w:rPr>
        <w:t>4</w:t>
      </w:r>
      <w:r>
        <w:t>）</w:t>
      </w:r>
      <w:r>
        <w:fldChar w:fldCharType="end"/>
      </w:r>
      <w:r>
        <w:t>当水库遭遇其他不可抗拒因素时，按照可能的突发事件，制订相应调度方案：</w:t>
      </w:r>
    </w:p>
    <w:p>
      <w:pPr>
        <w:ind w:firstLine="480"/>
      </w:pPr>
      <w:r>
        <w:fldChar w:fldCharType="begin"/>
      </w:r>
      <w:r>
        <w:instrText xml:space="preserve">=1\*GB3</w:instrText>
      </w:r>
      <w:r>
        <w:fldChar w:fldCharType="separate"/>
      </w:r>
      <w:r>
        <w:t>①</w:t>
      </w:r>
      <w:r>
        <w:fldChar w:fldCharType="end"/>
      </w:r>
      <w:r>
        <w:t>出现可能情况导致水库大坝溃决时，根据水库水位情况，按泄洪操作规程要求进行泄洪。控制当水位值介于正常蓄水位270.36m和设计洪水位272.65m之间；</w:t>
      </w:r>
    </w:p>
    <w:p>
      <w:pPr>
        <w:ind w:firstLine="480"/>
      </w:pPr>
      <w:r>
        <w:fldChar w:fldCharType="begin"/>
      </w:r>
      <w:r>
        <w:instrText xml:space="preserve">=2\*GB3</w:instrText>
      </w:r>
      <w:r>
        <w:fldChar w:fldCharType="separate"/>
      </w:r>
      <w:r>
        <w:t>②</w:t>
      </w:r>
      <w:r>
        <w:fldChar w:fldCharType="end"/>
      </w:r>
      <w:r>
        <w:t>当发生超过6°以上的地震，造成坝体出现裂缝，坝肩山体错动失稳的重大险情时，立即按照防御超标洪水应急方案抢险，并将水库水位降到死水位258.60m；</w:t>
      </w:r>
    </w:p>
    <w:p>
      <w:pPr>
        <w:ind w:firstLine="480"/>
      </w:pPr>
      <w:r>
        <w:t>③当发生特大暴雨时库水位急剧暴涨，坝体位移超过设计允许极限值的重大险情时，立即按照防御超标洪水应急方案抢险，并将水库水位降到死水位258.60m；</w:t>
      </w:r>
    </w:p>
    <w:p>
      <w:pPr>
        <w:ind w:firstLine="480"/>
      </w:pPr>
      <w:r>
        <w:t>④其他原因如人为破坏造成大坝主要功能损坏可能危及大坝安全的险情时，立即按照防御超标洪水应急方案抢险，并将水库水位降到死水位258.60m。</w:t>
      </w:r>
    </w:p>
    <w:p>
      <w:pPr>
        <w:pStyle w:val="4"/>
        <w:spacing w:before="120" w:after="120"/>
      </w:pPr>
      <w:r>
        <w:t>5.1.3险情调度方案操作规程</w:t>
      </w:r>
    </w:p>
    <w:p>
      <w:pPr>
        <w:ind w:firstLine="480"/>
      </w:pPr>
      <w:r>
        <w:t>工农水库抢险调度由水库管理单位沙坪坝区水库管理站提出方案，报经沙坪坝区防汛抗旱指挥部批准后，负责组织实施。</w:t>
      </w:r>
    </w:p>
    <w:p>
      <w:pPr>
        <w:ind w:firstLine="480"/>
      </w:pPr>
      <w:r>
        <w:t>水库的应急抢险调度方案，由沙坪坝区防汛抗旱指挥部统一指挥，水库管理单位负责执行，水库应急抢险指挥部成员单位各司其职，密切配合，全力做好各自工作。</w:t>
      </w:r>
    </w:p>
    <w:p>
      <w:pPr>
        <w:ind w:firstLine="480"/>
      </w:pPr>
      <w:r>
        <w:t>当水库出现一般险情时，由沙坪坝区水库管理站和青木关镇</w:t>
      </w:r>
      <w:r>
        <w:rPr>
          <w:rFonts w:hint="eastAsia"/>
        </w:rPr>
        <w:t>人民政府</w:t>
      </w:r>
      <w:r>
        <w:t>协同组织抢险；当水库出现较大、重大、特大险情时，根据现场情况及时收集、掌握相关信息，迅速采取措施，控制险情的发展，迅速向淹没范围发出预警，及时组织群众安全转移，并启动经沙坪坝区防汛抗旱指挥部批准的应急预案。</w:t>
      </w:r>
    </w:p>
    <w:p>
      <w:pPr>
        <w:pStyle w:val="3"/>
        <w:keepNext w:val="0"/>
        <w:spacing w:before="120" w:after="120"/>
      </w:pPr>
      <w:bookmarkStart w:id="40" w:name="_Toc131474326"/>
      <w:bookmarkEnd w:id="40"/>
      <w:bookmarkStart w:id="41" w:name="_Toc131474325"/>
      <w:bookmarkEnd w:id="41"/>
      <w:bookmarkStart w:id="42" w:name="_Toc131135657"/>
      <w:bookmarkEnd w:id="42"/>
      <w:bookmarkStart w:id="43" w:name="_Toc131135658"/>
      <w:bookmarkEnd w:id="43"/>
      <w:bookmarkStart w:id="44" w:name="_Toc131072297"/>
      <w:bookmarkEnd w:id="44"/>
      <w:bookmarkStart w:id="45" w:name="_Toc1889"/>
      <w:bookmarkStart w:id="46" w:name="_Toc389224159"/>
      <w:r>
        <w:t>5.2抢险措施</w:t>
      </w:r>
      <w:bookmarkEnd w:id="45"/>
      <w:bookmarkEnd w:id="46"/>
    </w:p>
    <w:p>
      <w:pPr>
        <w:pStyle w:val="4"/>
        <w:keepNext w:val="0"/>
        <w:spacing w:before="120" w:after="120"/>
      </w:pPr>
      <w:r>
        <w:t>5.2.1洪水抢险措施</w:t>
      </w:r>
    </w:p>
    <w:p>
      <w:pPr>
        <w:ind w:firstLine="480"/>
      </w:pPr>
      <w:r>
        <w:t>主要针对出现超标准洪水和危及大坝安全情况下的措施：</w:t>
      </w:r>
    </w:p>
    <w:p>
      <w:pPr>
        <w:ind w:firstLine="480"/>
      </w:pPr>
      <w:r>
        <w:fldChar w:fldCharType="begin"/>
      </w:r>
      <w:r>
        <w:instrText xml:space="preserve">=1\*GB2</w:instrText>
      </w:r>
      <w:r>
        <w:fldChar w:fldCharType="separate"/>
      </w:r>
      <w:r>
        <w:t>（1）</w:t>
      </w:r>
      <w:r>
        <w:fldChar w:fldCharType="end"/>
      </w:r>
      <w:r>
        <w:t>水库在汛期（5～9月）应保持库水位不高于防洪限制水位（正常蓄水位）270.36m运行。库水位超过270.36m时，若雨情仍然严峻，库水位持续上升，应向下游可能受到洪水威胁的场镇及村民发出洪水警报，使他们提高警惕，密切关注库区洪水位变化情况，注意接收进一步洪水警报。</w:t>
      </w:r>
    </w:p>
    <w:p>
      <w:pPr>
        <w:ind w:firstLine="480"/>
      </w:pPr>
      <w:r>
        <w:fldChar w:fldCharType="begin"/>
      </w:r>
      <w:r>
        <w:instrText xml:space="preserve">=2\*GB2</w:instrText>
      </w:r>
      <w:r>
        <w:fldChar w:fldCharType="separate"/>
      </w:r>
      <w:r>
        <w:t>（2）</w:t>
      </w:r>
      <w:r>
        <w:fldChar w:fldCharType="end"/>
      </w:r>
      <w:r>
        <w:t>为保证水库大坝自身的安全，水库最高洪水位不应超过水库校核洪水位273.43m，当预计出现大于500年一遇洪水时（24h降雨量大于300mm）时，应提前打开放水</w:t>
      </w:r>
      <w:r>
        <w:rPr>
          <w:rFonts w:hint="eastAsia"/>
        </w:rPr>
        <w:t>设施和放空设施</w:t>
      </w:r>
      <w:r>
        <w:t>，腾空库容，启动相应的应急预案。</w:t>
      </w:r>
    </w:p>
    <w:p>
      <w:pPr>
        <w:ind w:firstLine="480"/>
      </w:pPr>
      <w:r>
        <w:t>青木关镇防汛应急指挥部应将上下游河道可能要淹没地区的村民和财产按应急转移方案转移到事先设定好的安置点，并派出保安巡逻队在河道两侧巡逻，防止村民回流和其他意外情况发生。</w:t>
      </w:r>
    </w:p>
    <w:p>
      <w:pPr>
        <w:ind w:firstLine="480"/>
      </w:pPr>
      <w:r>
        <w:t>为确保大坝安全应采取的应急措施有：</w:t>
      </w:r>
      <w:r>
        <w:fldChar w:fldCharType="begin"/>
      </w:r>
      <w:r>
        <w:instrText xml:space="preserve">=1\*GB3\*MERGEFORMAT</w:instrText>
      </w:r>
      <w:r>
        <w:fldChar w:fldCharType="separate"/>
      </w:r>
      <w:r>
        <w:t>①</w:t>
      </w:r>
      <w:r>
        <w:fldChar w:fldCharType="end"/>
      </w:r>
      <w:r>
        <w:t>打开放水</w:t>
      </w:r>
      <w:r>
        <w:rPr>
          <w:rFonts w:hint="eastAsia"/>
        </w:rPr>
        <w:t>设施和放空设施，</w:t>
      </w:r>
      <w:r>
        <w:t>增加水库泄洪能力；</w:t>
      </w:r>
      <w:r>
        <w:fldChar w:fldCharType="begin"/>
      </w:r>
      <w:r>
        <w:instrText xml:space="preserve">=2\*GB3\*MERGEFORMAT</w:instrText>
      </w:r>
      <w:r>
        <w:fldChar w:fldCharType="separate"/>
      </w:r>
      <w:r>
        <w:t>②</w:t>
      </w:r>
      <w:r>
        <w:fldChar w:fldCharType="end"/>
      </w:r>
      <w:r>
        <w:t>通过洪水预报提前腾空部分库容</w:t>
      </w:r>
      <w:r>
        <w:rPr>
          <w:rFonts w:hint="eastAsia"/>
        </w:rPr>
        <w:t>，</w:t>
      </w:r>
      <w:r>
        <w:t>增大水库蓄水能力；</w:t>
      </w:r>
      <w:r>
        <w:fldChar w:fldCharType="begin"/>
      </w:r>
      <w:r>
        <w:instrText xml:space="preserve">=3\*GB3\*MERGEFORMAT</w:instrText>
      </w:r>
      <w:r>
        <w:fldChar w:fldCharType="separate"/>
      </w:r>
      <w:r>
        <w:t>③</w:t>
      </w:r>
      <w:r>
        <w:fldChar w:fldCharType="end"/>
      </w:r>
      <w:r>
        <w:t>抢护险情</w:t>
      </w:r>
      <w:r>
        <w:rPr>
          <w:rFonts w:hint="eastAsia"/>
        </w:rPr>
        <w:t>，</w:t>
      </w:r>
      <w:r>
        <w:t>针对各类工程险情制定相应的抢险措施。</w:t>
      </w:r>
    </w:p>
    <w:p>
      <w:pPr>
        <w:ind w:firstLine="480"/>
      </w:pPr>
      <w:r>
        <w:fldChar w:fldCharType="begin"/>
      </w:r>
      <w:r>
        <w:instrText xml:space="preserve">=3\*GB2</w:instrText>
      </w:r>
      <w:r>
        <w:fldChar w:fldCharType="separate"/>
      </w:r>
      <w:r>
        <w:t>（3）</w:t>
      </w:r>
      <w:r>
        <w:fldChar w:fldCharType="end"/>
      </w:r>
      <w:r>
        <w:t>汛期中加强与气象部门联系，若气象部门预报将出现超标准的特大降水过程，则应根据预报的降水量测算可能出现的洪水流量和洪水总量，及时进行水库调度，腾出适当库容以预防可能出现的超标准洪水。</w:t>
      </w:r>
    </w:p>
    <w:p>
      <w:pPr>
        <w:pStyle w:val="4"/>
        <w:spacing w:before="120" w:after="120"/>
      </w:pPr>
      <w:r>
        <w:t>5.2.2工程抢险措施</w:t>
      </w:r>
    </w:p>
    <w:p>
      <w:pPr>
        <w:ind w:firstLine="480"/>
      </w:pPr>
      <w:r>
        <w:t>当大坝突然出现裂缝、渗水和漏水等险情时，由工农水库防汛应急指挥部查明险情，并负责组织工程抢险。针对工农水库而言，水库常见的险情及抢护方法如下：</w:t>
      </w:r>
    </w:p>
    <w:p>
      <w:pPr>
        <w:ind w:firstLine="480"/>
      </w:pPr>
      <w:r>
        <w:fldChar w:fldCharType="begin"/>
      </w:r>
      <w:r>
        <w:instrText xml:space="preserve">=2\*GB2</w:instrText>
      </w:r>
      <w:r>
        <w:fldChar w:fldCharType="separate"/>
      </w:r>
      <w:r>
        <w:t>（</w:t>
      </w:r>
      <w:r>
        <w:rPr>
          <w:rFonts w:hint="eastAsia"/>
        </w:rPr>
        <w:t>1</w:t>
      </w:r>
      <w:r>
        <w:t>）</w:t>
      </w:r>
      <w:r>
        <w:fldChar w:fldCharType="end"/>
      </w:r>
      <w:r>
        <w:t>大坝裂缝</w:t>
      </w:r>
    </w:p>
    <w:p>
      <w:pPr>
        <w:ind w:firstLine="480"/>
      </w:pPr>
      <w:r>
        <w:t>首先确定裂缝的位置，确定裂缝产生的原因</w:t>
      </w:r>
      <w:r>
        <w:rPr>
          <w:rFonts w:hint="eastAsia"/>
        </w:rPr>
        <w:t>，</w:t>
      </w:r>
      <w:r>
        <w:t>其次采用凿槽、环氧砂浆封缝、骑缝钻孔、侧缝钻斜孔灌注环氧砂浆液等措施进行处理。</w:t>
      </w:r>
    </w:p>
    <w:p>
      <w:pPr>
        <w:ind w:firstLine="480"/>
      </w:pPr>
      <w:r>
        <w:fldChar w:fldCharType="begin"/>
      </w:r>
      <w:r>
        <w:instrText xml:space="preserve">=3\*GB2</w:instrText>
      </w:r>
      <w:r>
        <w:fldChar w:fldCharType="separate"/>
      </w:r>
      <w:r>
        <w:t>（</w:t>
      </w:r>
      <w:r>
        <w:rPr>
          <w:rFonts w:hint="eastAsia"/>
        </w:rPr>
        <w:t>2</w:t>
      </w:r>
      <w:r>
        <w:t>）</w:t>
      </w:r>
      <w:r>
        <w:fldChar w:fldCharType="end"/>
      </w:r>
      <w:r>
        <w:t>泄水建筑物裂缝</w:t>
      </w:r>
    </w:p>
    <w:p>
      <w:pPr>
        <w:ind w:firstLine="480"/>
      </w:pPr>
      <w:r>
        <w:t>①具体抢险方法：环氧砂浆堵漏、防水快沙浆堵漏。</w:t>
      </w:r>
    </w:p>
    <w:p>
      <w:pPr>
        <w:ind w:firstLine="480"/>
      </w:pPr>
      <w:r>
        <w:t>②所需抢险物料：环氧树脂、二丁脂、乙二胺、水泥、沥青麻丝、砂子等物资。</w:t>
      </w:r>
    </w:p>
    <w:p>
      <w:pPr>
        <w:ind w:firstLine="480"/>
      </w:pPr>
      <w:r>
        <w:t>（</w:t>
      </w:r>
      <w:r>
        <w:rPr>
          <w:rFonts w:hint="eastAsia"/>
        </w:rPr>
        <w:t>3</w:t>
      </w:r>
      <w:r>
        <w:t>）放水闸门或放</w:t>
      </w:r>
      <w:r>
        <w:rPr>
          <w:rFonts w:hint="eastAsia"/>
        </w:rPr>
        <w:t>空</w:t>
      </w:r>
      <w:r>
        <w:t>闸阀破坏</w:t>
      </w:r>
    </w:p>
    <w:p>
      <w:pPr>
        <w:ind w:firstLine="480"/>
      </w:pPr>
      <w:r>
        <w:t>①具体抢险方法：钢筋网堵口、钢筋混凝土管封堵。</w:t>
      </w:r>
    </w:p>
    <w:p>
      <w:pPr>
        <w:ind w:firstLine="480"/>
      </w:pPr>
      <w:r>
        <w:t>②所需抢险物料：蓬布、灰渣、钢筋、草袋、麻袋等物资</w:t>
      </w:r>
      <w:r>
        <w:rPr>
          <w:rFonts w:hint="eastAsia"/>
        </w:rPr>
        <w:t>。</w:t>
      </w:r>
    </w:p>
    <w:p>
      <w:pPr>
        <w:pStyle w:val="3"/>
        <w:spacing w:before="120" w:after="120"/>
      </w:pPr>
      <w:bookmarkStart w:id="47" w:name="_Toc389224160"/>
      <w:bookmarkStart w:id="48" w:name="_Toc592"/>
      <w:r>
        <w:t>5.3应急转移</w:t>
      </w:r>
      <w:bookmarkEnd w:id="47"/>
      <w:bookmarkEnd w:id="48"/>
    </w:p>
    <w:p>
      <w:pPr>
        <w:pStyle w:val="4"/>
        <w:spacing w:before="120" w:after="120"/>
      </w:pPr>
      <w:r>
        <w:t>5.3.1水库库区抢险应急方案</w:t>
      </w:r>
    </w:p>
    <w:p>
      <w:pPr>
        <w:ind w:firstLine="480"/>
      </w:pPr>
      <w:r>
        <w:t>当工农水库上游来水量过大，坝前水位急剧上升，超过正常蓄水位270.36m时，根据水文和气象预测，降雨还将持续，水位还将上升，威胁到水库库区的群众时，工农水库防汛应急指挥部应及时下达水库库区</w:t>
      </w:r>
      <w:r>
        <w:rPr>
          <w:rFonts w:hint="eastAsia"/>
        </w:rPr>
        <w:t>青木关镇</w:t>
      </w:r>
      <w:r>
        <w:t>管家桥村、石碾桥村等村群众撒离命令。由工农水库防汛应急转移指挥部全面负责群众转移、安置、救灾、抚恤等工作，有关单位分别负责辖区内的群众安全转移与安置工作。</w:t>
      </w:r>
    </w:p>
    <w:p>
      <w:pPr>
        <w:pStyle w:val="4"/>
        <w:spacing w:before="120" w:after="120"/>
      </w:pPr>
      <w:r>
        <w:t>5.3.2水库下游应急撤离方案</w:t>
      </w:r>
    </w:p>
    <w:p>
      <w:pPr>
        <w:ind w:firstLine="480"/>
      </w:pPr>
      <w:r>
        <w:t>下游青木关镇管家桥村、青木湖村，凤凰镇威灵寺村等受灾地区，都要成立负责人民群众安全转移的临时工作小组，由各村村长担任组长，接受工农水库防汛应急指挥部的统一领导。村长应指派专人负责和指挥部保持全天24h联系畅通，随时把水库险情传达给村民。各村为每个村组配备一个锣或者喇叭，放在村民组长家中，接到撤离信号后，以敲锣、喇叭通知村民撤离。村组每十户村民成立一个小组，每个小组安排两名在家的精干劳力担任组长及副组长，手机保持24小时畅通，听到撤离信号后，每个小组组长按照预定的方案逐户通知本小组的10户村民，人到齐清点人数后，立即按指定的撤离路线转移，转移到指定的安全地点。</w:t>
      </w:r>
    </w:p>
    <w:p>
      <w:pPr>
        <w:ind w:firstLine="480"/>
      </w:pPr>
      <w:r>
        <w:t>凡属淹没范围内的村庄，均应按照“安全、快速、就近”的原则，有步骤地转移到安全地带。具体转移所需工具及人员安置由镇</w:t>
      </w:r>
      <w:r>
        <w:rPr>
          <w:rFonts w:hint="eastAsia"/>
        </w:rPr>
        <w:t>政府</w:t>
      </w:r>
      <w:r>
        <w:t>进行协调。群众财物能及时转移走的，各村应该登记造册，由村委会</w:t>
      </w:r>
      <w:r>
        <w:rPr>
          <w:rFonts w:hint="eastAsia"/>
        </w:rPr>
        <w:t>的</w:t>
      </w:r>
      <w:r>
        <w:t>出纳、会计等</w:t>
      </w:r>
      <w:r>
        <w:rPr>
          <w:rFonts w:hint="eastAsia"/>
        </w:rPr>
        <w:t>人员</w:t>
      </w:r>
      <w:r>
        <w:t>，现场清点记录，当事人签字后转走并统一保管</w:t>
      </w:r>
      <w:r>
        <w:rPr>
          <w:rFonts w:hint="eastAsia"/>
        </w:rPr>
        <w:t>，</w:t>
      </w:r>
      <w:r>
        <w:t>事后原封不动地返还。</w:t>
      </w:r>
    </w:p>
    <w:p>
      <w:pPr>
        <w:ind w:firstLine="480"/>
      </w:pPr>
      <w:r>
        <w:t>在整个转移过程中，青木关镇人民政府</w:t>
      </w:r>
      <w:r>
        <w:rPr>
          <w:rFonts w:hint="eastAsia"/>
        </w:rPr>
        <w:t>、</w:t>
      </w:r>
      <w:r>
        <w:t>凤凰镇人民政府负责指挥，各村委会负责落实。以上部门的行政一把手为组织转移的第一负责人，负责确保洪水来临之前，按照转移方案进行转移。撤离指令由各级政府逐级下达，通过有线或无线信息传递转移预警，雷闪特殊天气采用发射红色信号弹或播放空袭警报通知预定区域灾民转移，撤离方式和撤离工具由当地政府负责。</w:t>
      </w:r>
    </w:p>
    <w:p>
      <w:pPr>
        <w:ind w:firstLine="480"/>
      </w:pPr>
      <w:r>
        <w:t>应制定人员和财产转移后的警戒措施，明确责任部门。警戒措施由各级防汛指挥机构和地方政府人民警察、民兵等完成，负责部门为水库所在地的公安部门。</w:t>
      </w:r>
    </w:p>
    <w:p>
      <w:pPr>
        <w:ind w:firstLine="480"/>
      </w:pPr>
      <w:r>
        <w:t>根据洪水淹没图，工农水库下游灾区民众应根据水库水位情况在规定的时间内，沿着规定好的路线撤离到安置区。根据淹没风险图显示，淹没区的大体范围内仍然有高地势地域，如果时间来不及按照以上撤离的情况下，就根据就近原则在周围附近处选择建筑物坚固，地势最高的地方作为暂时性避难地方，同时紧急向周围的呼喊求救或电话报警，以便尽快确定所在位置，在最短的时候内得到救助，确保生命安全。</w:t>
      </w:r>
    </w:p>
    <w:p>
      <w:pPr>
        <w:ind w:firstLine="480"/>
        <w:sectPr>
          <w:pgSz w:w="11905" w:h="16838"/>
          <w:pgMar w:top="1417" w:right="1502" w:bottom="1417" w:left="1502" w:header="850" w:footer="992" w:gutter="0"/>
          <w:cols w:space="0" w:num="1"/>
          <w:docGrid w:linePitch="312" w:charSpace="0"/>
        </w:sectPr>
      </w:pPr>
      <w:r>
        <w:t>应急转移时应特别注意最先受到波及村民的转移及财产的转移。对于村组内的残疾人、行动不便的老年人以及没有自主判断能力的小孩，应由各村组组长负责统一集合清点人数，由安全路线带到指定避险位置，</w:t>
      </w:r>
      <w:r>
        <w:rPr>
          <w:rFonts w:hint="eastAsia"/>
        </w:rPr>
        <w:t>最后</w:t>
      </w:r>
      <w:r>
        <w:t>由各村村长进行人员</w:t>
      </w:r>
      <w:r>
        <w:rPr>
          <w:rFonts w:hint="eastAsia"/>
        </w:rPr>
        <w:t>核查</w:t>
      </w:r>
      <w:r>
        <w:t>。</w:t>
      </w:r>
    </w:p>
    <w:p>
      <w:pPr>
        <w:pStyle w:val="3"/>
        <w:spacing w:before="120" w:after="120"/>
      </w:pPr>
      <w:bookmarkStart w:id="49" w:name="_Toc389224161"/>
      <w:bookmarkStart w:id="50" w:name="_Toc23792"/>
      <w:bookmarkStart w:id="134" w:name="_GoBack"/>
      <w:bookmarkEnd w:id="134"/>
      <w:r>
        <w:t>5.4应急处置流程图</w:t>
      </w:r>
      <w:bookmarkEnd w:id="49"/>
      <w:bookmarkEnd w:id="50"/>
    </w:p>
    <w:p>
      <w:pPr>
        <w:ind w:firstLine="480"/>
      </w:pPr>
      <w:r>
        <w:t>工农水库防</w:t>
      </w:r>
      <w:r>
        <w:rPr>
          <w:rFonts w:hint="eastAsia"/>
        </w:rPr>
        <w:t>洪</w:t>
      </w:r>
      <w:r>
        <w:t>抢险应急处置流程图</w:t>
      </w:r>
      <w:r>
        <w:rPr>
          <w:rFonts w:hint="eastAsia"/>
        </w:rPr>
        <w:t>如下</w:t>
      </w:r>
      <w:r>
        <w:t>。</w:t>
      </w:r>
    </w:p>
    <w:p>
      <w:pPr>
        <w:spacing w:line="240" w:lineRule="auto"/>
        <w:ind w:firstLine="0" w:firstLineChars="0"/>
        <w:jc w:val="center"/>
      </w:pPr>
    </w:p>
    <w:p>
      <w:pPr>
        <w:spacing w:line="240" w:lineRule="auto"/>
        <w:ind w:firstLine="0" w:firstLineChars="0"/>
        <w:jc w:val="center"/>
      </w:pPr>
      <w:r>
        <mc:AlternateContent>
          <mc:Choice Requires="wpg">
            <w:drawing>
              <wp:inline distT="0" distB="0" distL="114300" distR="114300">
                <wp:extent cx="5391785" cy="7686040"/>
                <wp:effectExtent l="5080" t="0" r="13335" b="0"/>
                <wp:docPr id="37" name="组合 204"/>
                <wp:cNvGraphicFramePr/>
                <a:graphic xmlns:a="http://schemas.openxmlformats.org/drawingml/2006/main">
                  <a:graphicData uri="http://schemas.microsoft.com/office/word/2010/wordprocessingGroup">
                    <wpg:wgp>
                      <wpg:cNvGrpSpPr/>
                      <wpg:grpSpPr>
                        <a:xfrm>
                          <a:off x="0" y="0"/>
                          <a:ext cx="5391785" cy="7686040"/>
                          <a:chOff x="0" y="0"/>
                          <a:chExt cx="9405" cy="12420"/>
                        </a:xfrm>
                      </wpg:grpSpPr>
                      <wps:wsp>
                        <wps:cNvPr id="1" name="矩形 4"/>
                        <wps:cNvSpPr/>
                        <wps:spPr>
                          <a:xfrm>
                            <a:off x="0" y="0"/>
                            <a:ext cx="9405" cy="12420"/>
                          </a:xfrm>
                          <a:prstGeom prst="rect">
                            <a:avLst/>
                          </a:prstGeom>
                          <a:noFill/>
                          <a:ln>
                            <a:noFill/>
                          </a:ln>
                        </wps:spPr>
                        <wps:bodyPr upright="true"/>
                      </wps:wsp>
                      <wps:wsp>
                        <wps:cNvPr id="2" name="Rectangle 1139"/>
                        <wps:cNvSpPr/>
                        <wps:spPr>
                          <a:xfrm>
                            <a:off x="4580" y="1773"/>
                            <a:ext cx="989" cy="50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19"/>
                              </w:pPr>
                              <w:r>
                                <w:rPr>
                                  <w:rFonts w:hint="eastAsia"/>
                                </w:rPr>
                                <w:t>上报</w:t>
                              </w:r>
                            </w:p>
                          </w:txbxContent>
                        </wps:txbx>
                        <wps:bodyPr upright="true"/>
                      </wps:wsp>
                      <wps:wsp>
                        <wps:cNvPr id="3" name="矩形 6"/>
                        <wps:cNvSpPr/>
                        <wps:spPr>
                          <a:xfrm>
                            <a:off x="3081" y="535"/>
                            <a:ext cx="2789"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突发事件发生</w:t>
                              </w:r>
                            </w:p>
                          </w:txbxContent>
                        </wps:txbx>
                        <wps:bodyPr upright="true"/>
                      </wps:wsp>
                      <wps:wsp>
                        <wps:cNvPr id="4" name="矩形 7"/>
                        <wps:cNvSpPr/>
                        <wps:spPr>
                          <a:xfrm>
                            <a:off x="2996" y="1390"/>
                            <a:ext cx="3484" cy="4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rPr>
                                  <w:szCs w:val="21"/>
                                </w:rPr>
                              </w:pPr>
                              <w:r>
                                <w:rPr>
                                  <w:rFonts w:hint="eastAsia"/>
                                  <w:szCs w:val="21"/>
                                </w:rPr>
                                <w:t>沙坪坝区水库管理站确认</w:t>
                              </w:r>
                            </w:p>
                          </w:txbxContent>
                        </wps:txbx>
                        <wps:bodyPr upright="true"/>
                      </wps:wsp>
                      <wps:wsp>
                        <wps:cNvPr id="5" name="矩形 8"/>
                        <wps:cNvSpPr/>
                        <wps:spPr>
                          <a:xfrm>
                            <a:off x="3478" y="9925"/>
                            <a:ext cx="2789"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应急处置</w:t>
                              </w:r>
                            </w:p>
                          </w:txbxContent>
                        </wps:txbx>
                        <wps:bodyPr upright="true"/>
                      </wps:wsp>
                      <wps:wsp>
                        <wps:cNvPr id="6" name="矩形 9"/>
                        <wps:cNvSpPr/>
                        <wps:spPr>
                          <a:xfrm>
                            <a:off x="3478" y="11595"/>
                            <a:ext cx="2789" cy="4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应急结束</w:t>
                              </w:r>
                            </w:p>
                          </w:txbxContent>
                        </wps:txbx>
                        <wps:bodyPr upright="true"/>
                      </wps:wsp>
                      <wps:wsp>
                        <wps:cNvPr id="7" name="直接箭头连接符 10"/>
                        <wps:cNvCnPr/>
                        <wps:spPr>
                          <a:xfrm>
                            <a:off x="4478" y="954"/>
                            <a:ext cx="2" cy="436"/>
                          </a:xfrm>
                          <a:prstGeom prst="straightConnector1">
                            <a:avLst/>
                          </a:prstGeom>
                          <a:ln w="9525" cap="flat" cmpd="sng">
                            <a:solidFill>
                              <a:srgbClr val="000000"/>
                            </a:solidFill>
                            <a:prstDash val="solid"/>
                            <a:headEnd type="none" w="med" len="med"/>
                            <a:tailEnd type="triangle" w="med" len="med"/>
                          </a:ln>
                        </wps:spPr>
                        <wps:bodyPr/>
                      </wps:wsp>
                      <wps:wsp>
                        <wps:cNvPr id="8" name="直接箭头连接符 11"/>
                        <wps:cNvCnPr/>
                        <wps:spPr>
                          <a:xfrm flipH="true">
                            <a:off x="4736" y="1812"/>
                            <a:ext cx="2" cy="393"/>
                          </a:xfrm>
                          <a:prstGeom prst="straightConnector1">
                            <a:avLst/>
                          </a:prstGeom>
                          <a:ln w="9525" cap="flat" cmpd="sng">
                            <a:solidFill>
                              <a:srgbClr val="000000"/>
                            </a:solidFill>
                            <a:prstDash val="solid"/>
                            <a:headEnd type="none" w="med" len="med"/>
                            <a:tailEnd type="triangle" w="med" len="med"/>
                          </a:ln>
                        </wps:spPr>
                        <wps:bodyPr/>
                      </wps:wsp>
                      <wps:wsp>
                        <wps:cNvPr id="9" name="矩形 12"/>
                        <wps:cNvSpPr/>
                        <wps:spPr>
                          <a:xfrm>
                            <a:off x="2309" y="2280"/>
                            <a:ext cx="4381"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沙坪坝区防汛抗旱指挥部确认险情级别</w:t>
                              </w:r>
                            </w:p>
                          </w:txbxContent>
                        </wps:txbx>
                        <wps:bodyPr upright="true"/>
                      </wps:wsp>
                      <wps:wsp>
                        <wps:cNvPr id="10" name="矩形 13"/>
                        <wps:cNvSpPr/>
                        <wps:spPr>
                          <a:xfrm>
                            <a:off x="543" y="3211"/>
                            <a:ext cx="1436"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Ⅰ级响应</w:t>
                              </w:r>
                            </w:p>
                          </w:txbxContent>
                        </wps:txbx>
                        <wps:bodyPr upright="true"/>
                      </wps:wsp>
                      <wps:wsp>
                        <wps:cNvPr id="11" name="矩形 14"/>
                        <wps:cNvSpPr/>
                        <wps:spPr>
                          <a:xfrm>
                            <a:off x="2965" y="3211"/>
                            <a:ext cx="1449"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rPr>
                                  <w:color w:val="000000"/>
                                  <w:szCs w:val="21"/>
                                </w:rPr>
                              </w:pPr>
                              <w:r>
                                <w:rPr>
                                  <w:rFonts w:hint="eastAsia"/>
                                </w:rPr>
                                <w:t>Ⅱ级响应</w:t>
                              </w:r>
                            </w:p>
                          </w:txbxContent>
                        </wps:txbx>
                        <wps:bodyPr upright="true"/>
                      </wps:wsp>
                      <wps:wsp>
                        <wps:cNvPr id="12" name="矩形 15"/>
                        <wps:cNvSpPr/>
                        <wps:spPr>
                          <a:xfrm>
                            <a:off x="5402" y="3211"/>
                            <a:ext cx="1439"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Ⅲ级响应</w:t>
                              </w:r>
                            </w:p>
                          </w:txbxContent>
                        </wps:txbx>
                        <wps:bodyPr upright="true"/>
                      </wps:wsp>
                      <wps:wsp>
                        <wps:cNvPr id="13" name="矩形 16"/>
                        <wps:cNvSpPr/>
                        <wps:spPr>
                          <a:xfrm>
                            <a:off x="7665" y="3276"/>
                            <a:ext cx="1441"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Ⅳ级响应</w:t>
                              </w:r>
                            </w:p>
                          </w:txbxContent>
                        </wps:txbx>
                        <wps:bodyPr upright="true"/>
                      </wps:wsp>
                      <wps:wsp>
                        <wps:cNvPr id="14" name="肘形连接符 17"/>
                        <wps:cNvCnPr/>
                        <wps:spPr>
                          <a:xfrm rot="-16200000" flipV="true">
                            <a:off x="4766" y="-344"/>
                            <a:ext cx="65" cy="7125"/>
                          </a:xfrm>
                          <a:prstGeom prst="bentConnector3">
                            <a:avLst>
                              <a:gd name="adj1" fmla="val -553847"/>
                            </a:avLst>
                          </a:prstGeom>
                          <a:ln w="9525" cap="flat" cmpd="sng">
                            <a:solidFill>
                              <a:srgbClr val="000000"/>
                            </a:solidFill>
                            <a:prstDash val="solid"/>
                            <a:miter/>
                            <a:headEnd type="none" w="med" len="med"/>
                            <a:tailEnd type="none" w="med" len="med"/>
                          </a:ln>
                        </wps:spPr>
                        <wps:bodyPr/>
                      </wps:wsp>
                      <wps:wsp>
                        <wps:cNvPr id="15" name="直接箭头连接符 18"/>
                        <wps:cNvCnPr/>
                        <wps:spPr>
                          <a:xfrm>
                            <a:off x="4500" y="2699"/>
                            <a:ext cx="1" cy="122"/>
                          </a:xfrm>
                          <a:prstGeom prst="straightConnector1">
                            <a:avLst/>
                          </a:prstGeom>
                          <a:ln w="9525" cap="flat" cmpd="sng">
                            <a:solidFill>
                              <a:srgbClr val="000000"/>
                            </a:solidFill>
                            <a:prstDash val="solid"/>
                            <a:headEnd type="none" w="med" len="med"/>
                            <a:tailEnd type="none" w="med" len="med"/>
                          </a:ln>
                        </wps:spPr>
                        <wps:bodyPr/>
                      </wps:wsp>
                      <wps:wsp>
                        <wps:cNvPr id="16" name="直接箭头连接符 19"/>
                        <wps:cNvCnPr/>
                        <wps:spPr>
                          <a:xfrm flipV="true">
                            <a:off x="3690" y="2821"/>
                            <a:ext cx="1" cy="390"/>
                          </a:xfrm>
                          <a:prstGeom prst="straightConnector1">
                            <a:avLst/>
                          </a:prstGeom>
                          <a:ln w="9525" cap="flat" cmpd="sng">
                            <a:solidFill>
                              <a:srgbClr val="000000"/>
                            </a:solidFill>
                            <a:prstDash val="solid"/>
                            <a:headEnd type="none" w="med" len="med"/>
                            <a:tailEnd type="none" w="med" len="med"/>
                          </a:ln>
                        </wps:spPr>
                        <wps:bodyPr/>
                      </wps:wsp>
                      <wps:wsp>
                        <wps:cNvPr id="17" name="直接箭头连接符 20"/>
                        <wps:cNvCnPr/>
                        <wps:spPr>
                          <a:xfrm flipV="true">
                            <a:off x="6122" y="2821"/>
                            <a:ext cx="1" cy="390"/>
                          </a:xfrm>
                          <a:prstGeom prst="straightConnector1">
                            <a:avLst/>
                          </a:prstGeom>
                          <a:ln w="9525" cap="flat" cmpd="sng">
                            <a:solidFill>
                              <a:srgbClr val="000000"/>
                            </a:solidFill>
                            <a:prstDash val="solid"/>
                            <a:headEnd type="none" w="med" len="med"/>
                            <a:tailEnd type="none" w="med" len="med"/>
                          </a:ln>
                        </wps:spPr>
                        <wps:bodyPr/>
                      </wps:wsp>
                      <wps:wsp>
                        <wps:cNvPr id="18" name="直接箭头连接符 21"/>
                        <wps:cNvCnPr/>
                        <wps:spPr>
                          <a:xfrm>
                            <a:off x="5564" y="3915"/>
                            <a:ext cx="1" cy="436"/>
                          </a:xfrm>
                          <a:prstGeom prst="straightConnector1">
                            <a:avLst/>
                          </a:prstGeom>
                          <a:ln w="9525" cap="flat" cmpd="sng">
                            <a:solidFill>
                              <a:srgbClr val="000000"/>
                            </a:solidFill>
                            <a:prstDash val="solid"/>
                            <a:headEnd type="none" w="med" len="med"/>
                            <a:tailEnd type="triangle" w="med" len="med"/>
                          </a:ln>
                        </wps:spPr>
                        <wps:bodyPr/>
                      </wps:wsp>
                      <wps:wsp>
                        <wps:cNvPr id="19" name="直接箭头连接符 22"/>
                        <wps:cNvCnPr/>
                        <wps:spPr>
                          <a:xfrm>
                            <a:off x="2490" y="5178"/>
                            <a:ext cx="2" cy="436"/>
                          </a:xfrm>
                          <a:prstGeom prst="straightConnector1">
                            <a:avLst/>
                          </a:prstGeom>
                          <a:ln w="9525" cap="flat" cmpd="sng">
                            <a:solidFill>
                              <a:srgbClr val="000000"/>
                            </a:solidFill>
                            <a:prstDash val="solid"/>
                            <a:headEnd type="none" w="med" len="med"/>
                            <a:tailEnd type="triangle" w="med" len="med"/>
                          </a:ln>
                        </wps:spPr>
                        <wps:bodyPr/>
                      </wps:wsp>
                      <wps:wsp>
                        <wps:cNvPr id="20" name="肘形连接符 23"/>
                        <wps:cNvCnPr/>
                        <wps:spPr>
                          <a:xfrm rot="5400000">
                            <a:off x="4872" y="2381"/>
                            <a:ext cx="1" cy="2432"/>
                          </a:xfrm>
                          <a:prstGeom prst="bentConnector3">
                            <a:avLst>
                              <a:gd name="adj1" fmla="val 28400000"/>
                            </a:avLst>
                          </a:prstGeom>
                          <a:ln w="9525" cap="flat" cmpd="sng">
                            <a:solidFill>
                              <a:srgbClr val="000000"/>
                            </a:solidFill>
                            <a:prstDash val="solid"/>
                            <a:miter/>
                            <a:headEnd type="none" w="med" len="med"/>
                            <a:tailEnd type="none" w="med" len="med"/>
                          </a:ln>
                        </wps:spPr>
                        <wps:bodyPr/>
                      </wps:wsp>
                      <wps:wsp>
                        <wps:cNvPr id="21" name="矩形 24"/>
                        <wps:cNvSpPr/>
                        <wps:spPr>
                          <a:xfrm>
                            <a:off x="105" y="4410"/>
                            <a:ext cx="4410" cy="7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由沙坪坝区防汛抗旱指挥部发布</w:t>
                              </w:r>
                            </w:p>
                          </w:txbxContent>
                        </wps:txbx>
                        <wps:bodyPr upright="true"/>
                      </wps:wsp>
                      <wps:wsp>
                        <wps:cNvPr id="22" name="矩形 25"/>
                        <wps:cNvSpPr/>
                        <wps:spPr>
                          <a:xfrm>
                            <a:off x="7169" y="4410"/>
                            <a:ext cx="2236" cy="7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由沙坪坝区防汛抗旱指挥部发布</w:t>
                              </w:r>
                            </w:p>
                          </w:txbxContent>
                        </wps:txbx>
                        <wps:bodyPr upright="true"/>
                      </wps:wsp>
                      <wps:wsp>
                        <wps:cNvPr id="23" name="直接箭头连接符 26"/>
                        <wps:cNvCnPr/>
                        <wps:spPr>
                          <a:xfrm>
                            <a:off x="8400" y="5148"/>
                            <a:ext cx="1" cy="436"/>
                          </a:xfrm>
                          <a:prstGeom prst="straightConnector1">
                            <a:avLst/>
                          </a:prstGeom>
                          <a:ln w="9525" cap="flat" cmpd="sng">
                            <a:solidFill>
                              <a:srgbClr val="000000"/>
                            </a:solidFill>
                            <a:prstDash val="solid"/>
                            <a:headEnd type="none" w="med" len="med"/>
                            <a:tailEnd type="triangle" w="med" len="med"/>
                          </a:ln>
                        </wps:spPr>
                        <wps:bodyPr/>
                      </wps:wsp>
                      <wps:wsp>
                        <wps:cNvPr id="24" name="矩形 27"/>
                        <wps:cNvSpPr/>
                        <wps:spPr>
                          <a:xfrm>
                            <a:off x="0" y="5617"/>
                            <a:ext cx="4304" cy="3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jc w:val="both"/>
                              </w:pPr>
                              <w:r>
                                <w:rPr>
                                  <w:rFonts w:hint="eastAsia"/>
                                </w:rPr>
                                <w:t>Ⅰ级：</w:t>
                              </w:r>
                              <w:r>
                                <w:rPr>
                                  <w:rFonts w:cs="Times New Roman"/>
                                </w:rPr>
                                <w:t>沙坪坝区防汛抗旱指挥部指挥长主持会商，作出抢险救灾工作部署，并及时将防汛工作情况收集汇总后上报重庆市防汛抗旱指挥部，立即启动防汛应急预案，第一时间派出工作组赴受灾地区加强指导，并成立由沙坪坝区人民政府、沙坪坝区防汛抗旱指挥部、青木关镇人民政府、</w:t>
                              </w:r>
                              <w:r>
                                <w:rPr>
                                  <w:rFonts w:hint="eastAsia" w:cs="Times New Roman"/>
                                </w:rPr>
                                <w:t>凤凰镇人民政府</w:t>
                              </w:r>
                              <w:r>
                                <w:rPr>
                                  <w:rFonts w:cs="Times New Roman"/>
                                </w:rPr>
                                <w:t>等单位组成的抗洪抢险救灾现场指挥部，负责抗洪抢险救灾的具体处置工作</w:t>
                              </w:r>
                              <w:r>
                                <w:rPr>
                                  <w:rFonts w:cs="Times New Roman"/>
                                  <w:szCs w:val="28"/>
                                </w:rPr>
                                <w:t>。</w:t>
                              </w:r>
                            </w:p>
                          </w:txbxContent>
                        </wps:txbx>
                        <wps:bodyPr lIns="35941" tIns="35941" rIns="35941" bIns="35941" upright="true"/>
                      </wps:wsp>
                      <wps:wsp>
                        <wps:cNvPr id="25" name="矩形 28"/>
                        <wps:cNvSpPr/>
                        <wps:spPr>
                          <a:xfrm>
                            <a:off x="7276" y="5655"/>
                            <a:ext cx="2053" cy="3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jc w:val="both"/>
                              </w:pPr>
                              <w:r>
                                <w:rPr>
                                  <w:rFonts w:hint="eastAsia"/>
                                </w:rPr>
                                <w:t>Ⅳ级：</w:t>
                              </w:r>
                              <w:r>
                                <w:rPr>
                                  <w:rFonts w:cs="Times New Roman"/>
                                </w:rPr>
                                <w:t>沙坪坝区农业农村委员会主要领导</w:t>
                              </w:r>
                              <w:r>
                                <w:rPr>
                                  <w:rFonts w:hint="eastAsia"/>
                                </w:rPr>
                                <w:t>主持会商，</w:t>
                              </w:r>
                              <w:r>
                                <w:rPr>
                                  <w:rFonts w:cs="Times New Roman"/>
                                </w:rPr>
                                <w:t>作出相应工作安排，加强对汛情的监视和对防汛工作的指导，并及时将防汛工作情况收集汇总后上报沙坪坝区防汛抗旱指挥部。</w:t>
                              </w:r>
                            </w:p>
                          </w:txbxContent>
                        </wps:txbx>
                        <wps:bodyPr lIns="35941" tIns="35941" rIns="35941" bIns="35941" upright="true"/>
                      </wps:wsp>
                      <wps:wsp>
                        <wps:cNvPr id="26" name="肘形连接符 29"/>
                        <wps:cNvCnPr/>
                        <wps:spPr>
                          <a:xfrm rot="5400000" flipH="true" flipV="true">
                            <a:off x="5160" y="6060"/>
                            <a:ext cx="68" cy="6151"/>
                          </a:xfrm>
                          <a:prstGeom prst="bentConnector3">
                            <a:avLst>
                              <a:gd name="adj1" fmla="val -529412"/>
                            </a:avLst>
                          </a:prstGeom>
                          <a:ln w="9525" cap="flat" cmpd="sng">
                            <a:solidFill>
                              <a:srgbClr val="000000"/>
                            </a:solidFill>
                            <a:prstDash val="solid"/>
                            <a:miter/>
                            <a:headEnd type="none" w="med" len="med"/>
                            <a:tailEnd type="none" w="med" len="med"/>
                          </a:ln>
                        </wps:spPr>
                        <wps:bodyPr/>
                      </wps:wsp>
                      <wps:wsp>
                        <wps:cNvPr id="27" name="矩形 30"/>
                        <wps:cNvSpPr/>
                        <wps:spPr>
                          <a:xfrm>
                            <a:off x="3478" y="10695"/>
                            <a:ext cx="2789"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现场险情处置</w:t>
                              </w:r>
                            </w:p>
                          </w:txbxContent>
                        </wps:txbx>
                        <wps:bodyPr upright="true"/>
                      </wps:wsp>
                      <wps:wsp>
                        <wps:cNvPr id="28" name="直接箭头连接符 31"/>
                        <wps:cNvCnPr/>
                        <wps:spPr>
                          <a:xfrm>
                            <a:off x="4873" y="10345"/>
                            <a:ext cx="1" cy="350"/>
                          </a:xfrm>
                          <a:prstGeom prst="straightConnector1">
                            <a:avLst/>
                          </a:prstGeom>
                          <a:ln w="9525" cap="flat" cmpd="sng">
                            <a:solidFill>
                              <a:srgbClr val="000000"/>
                            </a:solidFill>
                            <a:prstDash val="solid"/>
                            <a:headEnd type="none" w="med" len="med"/>
                            <a:tailEnd type="triangle" w="med" len="med"/>
                          </a:ln>
                        </wps:spPr>
                        <wps:bodyPr/>
                      </wps:wsp>
                      <wps:wsp>
                        <wps:cNvPr id="29" name="直接箭头连接符 32"/>
                        <wps:cNvCnPr/>
                        <wps:spPr>
                          <a:xfrm>
                            <a:off x="4874" y="11246"/>
                            <a:ext cx="1" cy="349"/>
                          </a:xfrm>
                          <a:prstGeom prst="straightConnector1">
                            <a:avLst/>
                          </a:prstGeom>
                          <a:ln w="9525" cap="flat" cmpd="sng">
                            <a:solidFill>
                              <a:srgbClr val="000000"/>
                            </a:solidFill>
                            <a:prstDash val="solid"/>
                            <a:headEnd type="none" w="med" len="med"/>
                            <a:tailEnd type="triangle" w="med" len="med"/>
                          </a:ln>
                        </wps:spPr>
                        <wps:bodyPr/>
                      </wps:wsp>
                      <wps:wsp>
                        <wps:cNvPr id="30" name="矩形 33"/>
                        <wps:cNvSpPr/>
                        <wps:spPr>
                          <a:xfrm>
                            <a:off x="4725" y="4410"/>
                            <a:ext cx="2016" cy="7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由沙坪坝区防汛抗旱指挥部发布</w:t>
                              </w:r>
                            </w:p>
                            <w:p>
                              <w:pPr>
                                <w:pStyle w:val="19"/>
                              </w:pPr>
                            </w:p>
                          </w:txbxContent>
                        </wps:txbx>
                        <wps:bodyPr upright="true"/>
                      </wps:wsp>
                      <wps:wsp>
                        <wps:cNvPr id="31" name="直接箭头连接符 34"/>
                        <wps:cNvCnPr/>
                        <wps:spPr>
                          <a:xfrm>
                            <a:off x="5880" y="5148"/>
                            <a:ext cx="2" cy="435"/>
                          </a:xfrm>
                          <a:prstGeom prst="straightConnector1">
                            <a:avLst/>
                          </a:prstGeom>
                          <a:ln w="9525" cap="flat" cmpd="sng">
                            <a:solidFill>
                              <a:srgbClr val="000000"/>
                            </a:solidFill>
                            <a:prstDash val="solid"/>
                            <a:headEnd type="none" w="med" len="med"/>
                            <a:tailEnd type="triangle" w="med" len="med"/>
                          </a:ln>
                        </wps:spPr>
                        <wps:bodyPr/>
                      </wps:wsp>
                      <wps:wsp>
                        <wps:cNvPr id="32" name="矩形 35"/>
                        <wps:cNvSpPr/>
                        <wps:spPr>
                          <a:xfrm>
                            <a:off x="4410" y="5617"/>
                            <a:ext cx="2730" cy="3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jc w:val="both"/>
                              </w:pPr>
                              <w:r>
                                <w:rPr>
                                  <w:rFonts w:hint="eastAsia"/>
                                </w:rPr>
                                <w:t>Ⅱ级：沙坪坝区防汛抗旱指挥部副指挥长主持会商，作出相应工作安排，</w:t>
                              </w:r>
                              <w:r>
                                <w:rPr>
                                  <w:rFonts w:cs="Times New Roman"/>
                                </w:rPr>
                                <w:t>立即启动防汛应急预案，第一时间派出工作组赴受灾地区加强指导</w:t>
                              </w:r>
                              <w:r>
                                <w:rPr>
                                  <w:rFonts w:hint="eastAsia"/>
                                </w:rPr>
                                <w:t>。Ⅲ级：沙坪坝区防汛抗旱指挥部副指挥长主持会商，作出相应工作安排，</w:t>
                              </w:r>
                              <w:r>
                                <w:rPr>
                                  <w:rFonts w:cs="Times New Roman"/>
                                </w:rPr>
                                <w:t>立即启动防汛应急预案，第一时间派出工作组赴受灾地区加强指导。</w:t>
                              </w:r>
                            </w:p>
                          </w:txbxContent>
                        </wps:txbx>
                        <wps:bodyPr lIns="35941" tIns="35941" rIns="35941" bIns="35941" upright="true"/>
                      </wps:wsp>
                      <wps:wsp>
                        <wps:cNvPr id="33" name="直接连接符 36"/>
                        <wps:cNvSpPr/>
                        <wps:spPr>
                          <a:xfrm>
                            <a:off x="5880" y="9203"/>
                            <a:ext cx="1" cy="313"/>
                          </a:xfrm>
                          <a:prstGeom prst="line">
                            <a:avLst/>
                          </a:prstGeom>
                          <a:ln w="9525" cap="flat" cmpd="sng">
                            <a:solidFill>
                              <a:srgbClr val="000000"/>
                            </a:solidFill>
                            <a:prstDash val="solid"/>
                            <a:headEnd type="none" w="med" len="med"/>
                            <a:tailEnd type="none" w="med" len="med"/>
                          </a:ln>
                        </wps:spPr>
                        <wps:bodyPr upright="true"/>
                      </wps:wsp>
                      <wps:wsp>
                        <wps:cNvPr id="34" name="直接箭头连接符 37"/>
                        <wps:cNvCnPr/>
                        <wps:spPr>
                          <a:xfrm>
                            <a:off x="4935" y="9516"/>
                            <a:ext cx="1" cy="349"/>
                          </a:xfrm>
                          <a:prstGeom prst="straightConnector1">
                            <a:avLst/>
                          </a:prstGeom>
                          <a:ln w="9525" cap="flat" cmpd="sng">
                            <a:solidFill>
                              <a:srgbClr val="000000"/>
                            </a:solidFill>
                            <a:prstDash val="solid"/>
                            <a:headEnd type="none" w="med" len="med"/>
                            <a:tailEnd type="triangle" w="med" len="med"/>
                          </a:ln>
                        </wps:spPr>
                        <wps:bodyPr/>
                      </wps:wsp>
                      <wps:wsp>
                        <wps:cNvPr id="35" name="直接箭头连接符 38"/>
                        <wps:cNvCnPr/>
                        <wps:spPr>
                          <a:xfrm>
                            <a:off x="8280" y="3695"/>
                            <a:ext cx="7" cy="715"/>
                          </a:xfrm>
                          <a:prstGeom prst="straightConnector1">
                            <a:avLst/>
                          </a:prstGeom>
                          <a:ln w="9525" cap="flat" cmpd="sng">
                            <a:solidFill>
                              <a:srgbClr val="000000"/>
                            </a:solidFill>
                            <a:prstDash val="solid"/>
                            <a:headEnd type="none" w="med" len="med"/>
                            <a:tailEnd type="triangle" w="med" len="med"/>
                          </a:ln>
                        </wps:spPr>
                        <wps:bodyPr/>
                      </wps:wsp>
                      <wps:wsp>
                        <wps:cNvPr id="36" name="直接箭头连接符 39"/>
                        <wps:cNvCnPr/>
                        <wps:spPr>
                          <a:xfrm>
                            <a:off x="1177" y="3635"/>
                            <a:ext cx="7" cy="715"/>
                          </a:xfrm>
                          <a:prstGeom prst="straightConnector1">
                            <a:avLst/>
                          </a:prstGeom>
                          <a:ln w="9525" cap="flat" cmpd="sng">
                            <a:solidFill>
                              <a:srgbClr val="000000"/>
                            </a:solidFill>
                            <a:prstDash val="solid"/>
                            <a:headEnd type="none" w="med" len="med"/>
                            <a:tailEnd type="triangle" w="med" len="med"/>
                          </a:ln>
                        </wps:spPr>
                        <wps:bodyPr/>
                      </wps:wsp>
                    </wpg:wgp>
                  </a:graphicData>
                </a:graphic>
              </wp:inline>
            </w:drawing>
          </mc:Choice>
          <mc:Fallback>
            <w:pict>
              <v:group id="组合 204" o:spid="_x0000_s1026" o:spt="203" style="height:605.2pt;width:424.55pt;" coordsize="9405,12420" o:gfxdata="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">
                <o:lock v:ext="edit" aspectratio="f"/>
                <v:rect id="矩形 4" o:spid="_x0000_s1026" o:spt="1" style="position:absolute;left:0;top:0;height:12420;width:9405;" filled="f" stroked="f" coordsize="21600,21600" o:gfxdata="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DgpTboAAADaAAAADwAAAAAAAAABACAAAAA4AAAAZHJzL2Rvd25yZXYueG1s&#10;UEsBAhQAFAAAAAgAh07iQDMvBZ47AAAAOQAAABAAAAAAAAAAAQAgAAAAHwEAAGRycy9zaGFwZXht&#10;bC54bWxQSwUGAAAAAAYABgBbAQAAyQMAAAAA&#10;">
                  <v:fill on="f" focussize="0,0"/>
                  <v:stroke on="f"/>
                  <v:imagedata o:title=""/>
                  <o:lock v:ext="edit" aspectratio="f"/>
                </v:rect>
                <v:rect id="Rectangle 1139" o:spid="_x0000_s1026" o:spt="1" style="position:absolute;left:4580;top:1773;height:507;width:989;" fillcolor="#FFFFFF" filled="t" stroked="t" coordsize="21600,21600" o:gfxdata="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vm0VKuQAAANoAAAAPAAAAAAAAAAEAIAAAADgAAABkcnMvZG93bnJldi54bWxQ&#10;SwECFAAUAAAACACHTuJAMy8FnjsAAAA5AAAAEAAAAAAAAAABACAAAAAeAQAAZHJzL3NoYXBleG1s&#10;LnhtbFBLBQYAAAAABgAGAFsBAADIAwAAAAA=&#10;">
                  <v:fill on="t" focussize="0,0"/>
                  <v:stroke color="#FFFFFF" joinstyle="miter"/>
                  <v:imagedata o:title=""/>
                  <o:lock v:ext="edit" aspectratio="f"/>
                  <v:textbox>
                    <w:txbxContent>
                      <w:p>
                        <w:pPr>
                          <w:pStyle w:val="19"/>
                        </w:pPr>
                        <w:r>
                          <w:rPr>
                            <w:rFonts w:hint="eastAsia"/>
                          </w:rPr>
                          <w:t>上报</w:t>
                        </w:r>
                      </w:p>
                    </w:txbxContent>
                  </v:textbox>
                </v:rect>
                <v:rect id="矩形 6" o:spid="_x0000_s1026" o:spt="1" style="position:absolute;left:3081;top:535;height:419;width:2789;" fillcolor="#FFFFFF" filled="t" stroked="t" coordsize="21600,21600" o:gfxdata="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f+p6W7AAAA2g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pStyle w:val="19"/>
                        </w:pPr>
                        <w:r>
                          <w:rPr>
                            <w:rFonts w:hint="eastAsia"/>
                          </w:rPr>
                          <w:t>突发事件发生</w:t>
                        </w:r>
                      </w:p>
                    </w:txbxContent>
                  </v:textbox>
                </v:rect>
                <v:rect id="矩形 7" o:spid="_x0000_s1026" o:spt="1" style="position:absolute;left:2996;top:1390;height:422;width:3484;" fillcolor="#FFFFFF" filled="t" stroked="t" coordsize="21600,21600" o:gfxdata="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Bc/0b0AAADa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rPr>
                            <w:szCs w:val="21"/>
                          </w:rPr>
                        </w:pPr>
                        <w:r>
                          <w:rPr>
                            <w:rFonts w:hint="eastAsia"/>
                            <w:szCs w:val="21"/>
                          </w:rPr>
                          <w:t>沙坪坝区水库管理站确认</w:t>
                        </w:r>
                      </w:p>
                    </w:txbxContent>
                  </v:textbox>
                </v:rect>
                <v:rect id="矩形 8" o:spid="_x0000_s1026" o:spt="1" style="position:absolute;left:3478;top:9925;height:420;width:2789;" fillcolor="#FFFFFF" filled="t" stroked="t" coordsize="21600,21600" o:gfxdata="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1uaSr0AAADa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pPr>
                        <w:r>
                          <w:rPr>
                            <w:rFonts w:hint="eastAsia"/>
                          </w:rPr>
                          <w:t>应急处置</w:t>
                        </w:r>
                      </w:p>
                    </w:txbxContent>
                  </v:textbox>
                </v:rect>
                <v:rect id="矩形 9" o:spid="_x0000_s1026" o:spt="1" style="position:absolute;left:3478;top:11595;height:422;width:2789;" fillcolor="#FFFFFF" filled="t" stroked="t" coordsize="21600,21600" o:gfxdata="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eJBD27AAAA2g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pStyle w:val="19"/>
                        </w:pPr>
                        <w:r>
                          <w:rPr>
                            <w:rFonts w:hint="eastAsia"/>
                          </w:rPr>
                          <w:t>应急结束</w:t>
                        </w:r>
                      </w:p>
                    </w:txbxContent>
                  </v:textbox>
                </v:rect>
                <v:shape id="直接箭头连接符 10" o:spid="_x0000_s1026" o:spt="32" type="#_x0000_t32" style="position:absolute;left:4478;top:954;height:436;width:2;" filled="f" stroked="t" coordsize="21600,21600" o:gfxdata="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KvgOr0AAADa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shape>
                <v:shape id="直接箭头连接符 11" o:spid="_x0000_s1026" o:spt="32" type="#_x0000_t32" style="position:absolute;left:4736;top:1812;flip:x;height:393;width:2;" filled="f" stroked="t" coordsize="21600,21600" o:gfxdata="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MepvzLoAAADaAAAADwAAAAAAAAABACAAAAA4AAAAZHJzL2Rvd25yZXYueG1s&#10;UEsBAhQAFAAAAAgAh07iQDMvBZ47AAAAOQAAABAAAAAAAAAAAQAgAAAAHwEAAGRycy9zaGFwZXht&#10;bC54bWxQSwUGAAAAAAYABgBbAQAAyQMAAAAA&#10;">
                  <v:fill on="f" focussize="0,0"/>
                  <v:stroke color="#000000" joinstyle="round" endarrow="block"/>
                  <v:imagedata o:title=""/>
                  <o:lock v:ext="edit" aspectratio="f"/>
                </v:shape>
                <v:rect id="矩形 12" o:spid="_x0000_s1026" o:spt="1" style="position:absolute;left:2309;top:2280;height:419;width:4381;" fillcolor="#FFFFFF" filled="t" stroked="t" coordsize="21600,21600" o:gfxdata="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mFpBPvAAAANo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pStyle w:val="19"/>
                        </w:pPr>
                        <w:r>
                          <w:rPr>
                            <w:rFonts w:hint="eastAsia"/>
                          </w:rPr>
                          <w:t>沙坪坝区防汛抗旱指挥部确认险情级别</w:t>
                        </w:r>
                      </w:p>
                    </w:txbxContent>
                  </v:textbox>
                </v:rect>
                <v:rect id="矩形 13" o:spid="_x0000_s1026" o:spt="1" style="position:absolute;left:543;top:3211;height:419;width:1436;" fillcolor="#FFFFFF" filled="t" stroked="t" coordsize="21600,21600" o:gfxdata="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FnB6R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pStyle w:val="19"/>
                        </w:pPr>
                        <w:r>
                          <w:rPr>
                            <w:rFonts w:hint="eastAsia"/>
                          </w:rPr>
                          <w:t>Ⅰ级响应</w:t>
                        </w:r>
                      </w:p>
                    </w:txbxContent>
                  </v:textbox>
                </v:rect>
                <v:rect id="矩形 14" o:spid="_x0000_s1026" o:spt="1" style="position:absolute;left:2965;top:3211;height:419;width:1449;" fillcolor="#FFFFFF" filled="t" stroked="t" coordsize="21600,21600" o:gfxdata="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rQuwq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pStyle w:val="19"/>
                          <w:rPr>
                            <w:color w:val="000000"/>
                            <w:szCs w:val="21"/>
                          </w:rPr>
                        </w:pPr>
                        <w:r>
                          <w:rPr>
                            <w:rFonts w:hint="eastAsia"/>
                          </w:rPr>
                          <w:t>Ⅱ级响应</w:t>
                        </w:r>
                      </w:p>
                    </w:txbxContent>
                  </v:textbox>
                </v:rect>
                <v:rect id="矩形 15" o:spid="_x0000_s1026" o:spt="1" style="position:absolute;left:5402;top:3211;height:419;width:1439;" fillcolor="#FFFFFF" filled="t" stroked="t" coordsize="21600,21600" o:gfxdata="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oCJX2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pStyle w:val="19"/>
                        </w:pPr>
                        <w:r>
                          <w:rPr>
                            <w:rFonts w:hint="eastAsia"/>
                          </w:rPr>
                          <w:t>Ⅲ级响应</w:t>
                        </w:r>
                      </w:p>
                    </w:txbxContent>
                  </v:textbox>
                </v:rect>
                <v:rect id="矩形 16" o:spid="_x0000_s1026" o:spt="1" style="position:absolute;left:7665;top:3276;height:419;width:1441;" fillcolor="#FFFFFF" filled="t" stroked="t" coordsize="21600,21600" o:gfxdata="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dU6A5roAAADb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pStyle w:val="19"/>
                        </w:pPr>
                        <w:r>
                          <w:rPr>
                            <w:rFonts w:hint="eastAsia"/>
                          </w:rPr>
                          <w:t>Ⅳ级响应</w:t>
                        </w:r>
                      </w:p>
                    </w:txbxContent>
                  </v:textbox>
                </v:rect>
                <v:shape id="肘形连接符 17" o:spid="_x0000_s1026" o:spt="34" type="#_x0000_t34" style="position:absolute;left:4766;top:-344;flip:y;height:7125;width:65;rotation:-5898240f;" filled="f" stroked="t" coordsize="21600,21600" o:gfxdata="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EDoIUvAAAANsAAAAPAAAAAAAAAAEAIAAAADgAAABkcnMvZG93bnJldi54&#10;bWxQSwECFAAUAAAACACHTuJAMy8FnjsAAAA5AAAAEAAAAAAAAAABACAAAAAhAQAAZHJzL3NoYXBl&#10;eG1sLnhtbFBLBQYAAAAABgAGAFsBAADLAwAAAAA=&#10;" adj="0">
                  <v:fill on="f" focussize="0,0"/>
                  <v:stroke color="#000000" joinstyle="miter"/>
                  <v:imagedata o:title=""/>
                  <o:lock v:ext="edit" aspectratio="f"/>
                </v:shape>
                <v:shape id="直接箭头连接符 18" o:spid="_x0000_s1026" o:spt="32" type="#_x0000_t32" style="position:absolute;left:4500;top:2699;height:122;width:1;" filled="f" stroked="t" coordsize="21600,21600" o:gfxdata="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D91+LoAAADbAAAADwAAAAAAAAABACAAAAA4AAAAZHJzL2Rvd25yZXYueG1s&#10;UEsBAhQAFAAAAAgAh07iQDMvBZ47AAAAOQAAABAAAAAAAAAAAQAgAAAAHwEAAGRycy9zaGFwZXht&#10;bC54bWxQSwUGAAAAAAYABgBbAQAAyQMAAAAA&#10;">
                  <v:fill on="f" focussize="0,0"/>
                  <v:stroke color="#000000" joinstyle="round"/>
                  <v:imagedata o:title=""/>
                  <o:lock v:ext="edit" aspectratio="f"/>
                </v:shape>
                <v:shape id="直接箭头连接符 19" o:spid="_x0000_s1026" o:spt="32" type="#_x0000_t32" style="position:absolute;left:3690;top:2821;flip:y;height:390;width:1;" filled="f" stroked="t" coordsize="21600,21600" o:gfxdata="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YM9NBroAAADbAAAADwAAAAAAAAABACAAAAA4AAAAZHJzL2Rvd25yZXYueG1s&#10;UEsBAhQAFAAAAAgAh07iQDMvBZ47AAAAOQAAABAAAAAAAAAAAQAgAAAAHwEAAGRycy9zaGFwZXht&#10;bC54bWxQSwUGAAAAAAYABgBbAQAAyQMAAAAA&#10;">
                  <v:fill on="f" focussize="0,0"/>
                  <v:stroke color="#000000" joinstyle="round"/>
                  <v:imagedata o:title=""/>
                  <o:lock v:ext="edit" aspectratio="f"/>
                </v:shape>
                <v:shape id="直接箭头连接符 20" o:spid="_x0000_s1026" o:spt="32" type="#_x0000_t32" style="position:absolute;left:6122;top:2821;flip:y;height:390;width:1;" filled="f" stroked="t" coordsize="21600,21600" o:gfxdata="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D4PonbcAAADbAAAADwAAAAAAAAABACAAAAA4AAAAZHJzL2Rvd25yZXYueG1sUEsB&#10;AhQAFAAAAAgAh07iQDMvBZ47AAAAOQAAABAAAAAAAAAAAQAgAAAAHAEAAGRycy9zaGFwZXhtbC54&#10;bWxQSwUGAAAAAAYABgBbAQAAxgMAAAAA&#10;">
                  <v:fill on="f" focussize="0,0"/>
                  <v:stroke color="#000000" joinstyle="round"/>
                  <v:imagedata o:title=""/>
                  <o:lock v:ext="edit" aspectratio="f"/>
                </v:shape>
                <v:shape id="直接箭头连接符 21" o:spid="_x0000_s1026" o:spt="32" type="#_x0000_t32" style="position:absolute;left:5564;top:3915;height:436;width:1;" filled="f" stroked="t" coordsize="21600,21600" o:gfxdata="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H65fy+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22" o:spid="_x0000_s1026" o:spt="32" type="#_x0000_t32" style="position:absolute;left:2490;top:5178;height:436;width:2;" filled="f" stroked="t" coordsize="21600,21600" o:gfxdata="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62QGe7AAAA2w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shape>
                <v:shape id="肘形连接符 23" o:spid="_x0000_s1026" o:spt="34" type="#_x0000_t34" style="position:absolute;left:4872;top:2381;height:2432;width:1;rotation:5898240f;" filled="f" stroked="t" coordsize="21600,21600" o:gfxdata="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&#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JlD/TuQAAANsAAAAPAAAAAAAAAAEAIAAAADgAAABkcnMvZG93bnJldi54bWxQ&#10;SwECFAAUAAAACACHTuJAMy8FnjsAAAA5AAAAEAAAAAAAAAABACAAAAAeAQAAZHJzL3NoYXBleG1s&#10;LnhtbFBLBQYAAAAABgAGAFsBAADIAwAAAAA=&#10;" adj="6134400">
                  <v:fill on="f" focussize="0,0"/>
                  <v:stroke color="#000000" joinstyle="miter"/>
                  <v:imagedata o:title=""/>
                  <o:lock v:ext="edit" aspectratio="f"/>
                </v:shape>
                <v:rect id="矩形 24" o:spid="_x0000_s1026" o:spt="1" style="position:absolute;left:105;top:4410;height:768;width:4410;" fillcolor="#FFFFFF" filled="t" stroked="t" coordsize="21600,21600" o:gfxdata="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Lxxt7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pPr>
                        <w:r>
                          <w:rPr>
                            <w:rFonts w:hint="eastAsia"/>
                          </w:rPr>
                          <w:t>由沙坪坝区防汛抗旱指挥部发布</w:t>
                        </w:r>
                      </w:p>
                    </w:txbxContent>
                  </v:textbox>
                </v:rect>
                <v:rect id="矩形 25" o:spid="_x0000_s1026" o:spt="1" style="position:absolute;left:7169;top:4410;height:738;width:2236;" fillcolor="#FFFFFF" filled="t" stroked="t" coordsize="21600,21600" o:gfxdata="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G7vwL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pPr>
                        <w:r>
                          <w:rPr>
                            <w:rFonts w:hint="eastAsia"/>
                          </w:rPr>
                          <w:t>由沙坪坝区防汛抗旱指挥部发布</w:t>
                        </w:r>
                      </w:p>
                    </w:txbxContent>
                  </v:textbox>
                </v:rect>
                <v:shape id="直接箭头连接符 26" o:spid="_x0000_s1026" o:spt="32" type="#_x0000_t32" style="position:absolute;left:8400;top:5148;height:436;width:1;" filled="f" stroked="t" coordsize="21600,21600" o:gfxdata="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EyvTC+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rect id="矩形 27" o:spid="_x0000_s1026" o:spt="1" style="position:absolute;left:0;top:5617;height:3586;width:4304;" fillcolor="#FFFFFF" filled="t" stroked="t" coordsize="21600,21600" o:gfxdata="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YTm0f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inset="0.998361111111111mm,0.998361111111111mm,0.998361111111111mm,0.998361111111111mm">
                    <w:txbxContent>
                      <w:p>
                        <w:pPr>
                          <w:pStyle w:val="19"/>
                          <w:jc w:val="both"/>
                        </w:pPr>
                        <w:r>
                          <w:rPr>
                            <w:rFonts w:hint="eastAsia"/>
                          </w:rPr>
                          <w:t>Ⅰ级：</w:t>
                        </w:r>
                        <w:r>
                          <w:rPr>
                            <w:rFonts w:cs="Times New Roman"/>
                          </w:rPr>
                          <w:t>沙坪坝区防汛抗旱指挥部指挥长主持会商，作出抢险救灾工作部署，并及时将防汛工作情况收集汇总后上报重庆市防汛抗旱指挥部，立即启动防汛应急预案，第一时间派出工作组赴受灾地区加强指导，并成立由沙坪坝区人民政府、沙坪坝区防汛抗旱指挥部、青木关镇人民政府、</w:t>
                        </w:r>
                        <w:r>
                          <w:rPr>
                            <w:rFonts w:hint="eastAsia" w:cs="Times New Roman"/>
                          </w:rPr>
                          <w:t>凤凰镇人民政府</w:t>
                        </w:r>
                        <w:r>
                          <w:rPr>
                            <w:rFonts w:cs="Times New Roman"/>
                          </w:rPr>
                          <w:t>等单位组成的抗洪抢险救灾现场指挥部，负责抗洪抢险救灾的具体处置工作</w:t>
                        </w:r>
                        <w:r>
                          <w:rPr>
                            <w:rFonts w:cs="Times New Roman"/>
                            <w:szCs w:val="28"/>
                          </w:rPr>
                          <w:t>。</w:t>
                        </w:r>
                      </w:p>
                    </w:txbxContent>
                  </v:textbox>
                </v:rect>
                <v:rect id="矩形 28" o:spid="_x0000_s1026" o:spt="1" style="position:absolute;left:7276;top:5655;height:3480;width:2053;" fillcolor="#FFFFFF" filled="t" stroked="t" coordsize="21600,21600" o:gfxdata="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3AsiE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inset="0.998361111111111mm,0.998361111111111mm,0.998361111111111mm,0.998361111111111mm">
                    <w:txbxContent>
                      <w:p>
                        <w:pPr>
                          <w:pStyle w:val="19"/>
                          <w:jc w:val="both"/>
                        </w:pPr>
                        <w:r>
                          <w:rPr>
                            <w:rFonts w:hint="eastAsia"/>
                          </w:rPr>
                          <w:t>Ⅳ级：</w:t>
                        </w:r>
                        <w:r>
                          <w:rPr>
                            <w:rFonts w:cs="Times New Roman"/>
                          </w:rPr>
                          <w:t>沙坪坝区农业农村委员会主要领导</w:t>
                        </w:r>
                        <w:r>
                          <w:rPr>
                            <w:rFonts w:hint="eastAsia"/>
                          </w:rPr>
                          <w:t>主持会商，</w:t>
                        </w:r>
                        <w:r>
                          <w:rPr>
                            <w:rFonts w:cs="Times New Roman"/>
                          </w:rPr>
                          <w:t>作出相应工作安排，加强对汛情的监视和对防汛工作的指导，并及时将防汛工作情况收集汇总后上报沙坪坝区防汛抗旱指挥部。</w:t>
                        </w:r>
                      </w:p>
                    </w:txbxContent>
                  </v:textbox>
                </v:rect>
                <v:shape id="肘形连接符 29" o:spid="_x0000_s1026" o:spt="34" type="#_x0000_t34" style="position:absolute;left:5160;top:6060;flip:x y;height:6151;width:68;rotation:5898240f;" filled="f" stroked="t" coordsize="21600,21600" o:gfxdata="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eqpGwvAAAANsAAAAPAAAAAAAAAAEAIAAAADgAAABkcnMvZG93bnJldi54&#10;bWxQSwECFAAUAAAACACHTuJAMy8FnjsAAAA5AAAAEAAAAAAAAAABACAAAAAhAQAAZHJzL3NoYXBl&#10;eG1sLnhtbFBLBQYAAAAABgAGAFsBAADLAwAAAAA=&#10;" adj="0">
                  <v:fill on="f" focussize="0,0"/>
                  <v:stroke color="#000000" joinstyle="miter"/>
                  <v:imagedata o:title=""/>
                  <o:lock v:ext="edit" aspectratio="f"/>
                </v:shape>
                <v:rect id="矩形 30" o:spid="_x0000_s1026" o:spt="1" style="position:absolute;left:3478;top:10695;height:420;width:2789;" fillcolor="#FFFFFF" filled="t" stroked="t" coordsize="21600,21600" o:gfxdata="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BlMWL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pPr>
                        <w:r>
                          <w:rPr>
                            <w:rFonts w:hint="eastAsia"/>
                          </w:rPr>
                          <w:t>现场险情处置</w:t>
                        </w:r>
                      </w:p>
                    </w:txbxContent>
                  </v:textbox>
                </v:rect>
                <v:shape id="直接箭头连接符 31" o:spid="_x0000_s1026" o:spt="32" type="#_x0000_t32" style="position:absolute;left:4873;top:10345;height:350;width:1;" filled="f" stroked="t" coordsize="21600,21600" o:gfxdata="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WL0G7AAAA2w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shape>
                <v:shape id="直接箭头连接符 32" o:spid="_x0000_s1026" o:spt="32" type="#_x0000_t32" style="position:absolute;left:4874;top:11246;height:349;width:1;" filled="f" stroked="t" coordsize="21600,21600" o:gfxdata="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Daitq+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rect id="矩形 33" o:spid="_x0000_s1026" o:spt="1" style="position:absolute;left:4725;top:4410;height:768;width:2016;" fillcolor="#FFFFFF" filled="t" stroked="t" coordsize="21600,21600" o:gfxdata="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4pQvG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pStyle w:val="19"/>
                        </w:pPr>
                        <w:r>
                          <w:rPr>
                            <w:rFonts w:hint="eastAsia"/>
                          </w:rPr>
                          <w:t>由沙坪坝区防汛抗旱指挥部发布</w:t>
                        </w:r>
                      </w:p>
                      <w:p>
                        <w:pPr>
                          <w:pStyle w:val="19"/>
                        </w:pPr>
                      </w:p>
                    </w:txbxContent>
                  </v:textbox>
                </v:rect>
                <v:shape id="直接箭头连接符 34" o:spid="_x0000_s1026" o:spt="32" type="#_x0000_t32" style="position:absolute;left:5880;top:5148;height:435;width:2;" filled="f" stroked="t" coordsize="21600,21600" o:gfxdata="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t1EAG+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rect id="矩形 35" o:spid="_x0000_s1026" o:spt="1" style="position:absolute;left:4410;top:5617;height:3586;width:2730;" fillcolor="#FFFFFF" filled="t" stroked="t" coordsize="21600,21600" o:gfxdata="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9MsYt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inset="0.998361111111111mm,0.998361111111111mm,0.998361111111111mm,0.998361111111111mm">
                    <w:txbxContent>
                      <w:p>
                        <w:pPr>
                          <w:pStyle w:val="19"/>
                          <w:jc w:val="both"/>
                        </w:pPr>
                        <w:r>
                          <w:rPr>
                            <w:rFonts w:hint="eastAsia"/>
                          </w:rPr>
                          <w:t>Ⅱ级：沙坪坝区防汛抗旱指挥部副指挥长主持会商，作出相应工作安排，</w:t>
                        </w:r>
                        <w:r>
                          <w:rPr>
                            <w:rFonts w:cs="Times New Roman"/>
                          </w:rPr>
                          <w:t>立即启动防汛应急预案，第一时间派出工作组赴受灾地区加强指导</w:t>
                        </w:r>
                        <w:r>
                          <w:rPr>
                            <w:rFonts w:hint="eastAsia"/>
                          </w:rPr>
                          <w:t>。Ⅲ级：沙坪坝区防汛抗旱指挥部副指挥长主持会商，作出相应工作安排，</w:t>
                        </w:r>
                        <w:r>
                          <w:rPr>
                            <w:rFonts w:cs="Times New Roman"/>
                          </w:rPr>
                          <w:t>立即启动防汛应急预案，第一时间派出工作组赴受灾地区加强指导。</w:t>
                        </w:r>
                      </w:p>
                    </w:txbxContent>
                  </v:textbox>
                </v:rect>
                <v:line id="直接连接符 36" o:spid="_x0000_s1026" o:spt="20" style="position:absolute;left:5880;top:9203;height:313;width:1;" filled="f" stroked="t" coordsize="21600,21600" o:gfxdata="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cWxK/vAAAANsAAAAPAAAAAAAAAAEAIAAAADgAAABkcnMvZG93bnJldi54&#10;bWxQSwECFAAUAAAACACHTuJAMy8FnjsAAAA5AAAAEAAAAAAAAAABACAAAAAhAQAAZHJzL3NoYXBl&#10;eG1sLnhtbFBLBQYAAAAABgAGAFsBAADLAwAAAAA=&#10;">
                  <v:fill on="f" focussize="0,0"/>
                  <v:stroke color="#000000" joinstyle="round"/>
                  <v:imagedata o:title=""/>
                  <o:lock v:ext="edit" aspectratio="f"/>
                </v:line>
                <v:shape id="直接箭头连接符 37" o:spid="_x0000_s1026" o:spt="32" type="#_x0000_t32" style="position:absolute;left:4935;top:9516;height:349;width:1;" filled="f" stroked="t" coordsize="21600,21600" o:gfxdata="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sCs5m+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38" o:spid="_x0000_s1026" o:spt="32" type="#_x0000_t32" style="position:absolute;left:8280;top:3695;height:715;width:7;" filled="f" stroked="t" coordsize="21600,21600" o:gfxdata="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ROFgK+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39" o:spid="_x0000_s1026" o:spt="32" type="#_x0000_t32" style="position:absolute;left:1177;top:3635;height:715;width:7;" filled="f" stroked="t" coordsize="21600,21600" o:gfxdata="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0nIh1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shape>
                <w10:wrap type="none"/>
                <w10:anchorlock/>
              </v:group>
            </w:pict>
          </mc:Fallback>
        </mc:AlternateContent>
      </w:r>
    </w:p>
    <w:p>
      <w:pPr>
        <w:spacing w:line="240" w:lineRule="auto"/>
        <w:ind w:firstLine="0" w:firstLineChars="0"/>
        <w:jc w:val="center"/>
      </w:pPr>
    </w:p>
    <w:p>
      <w:pPr>
        <w:ind w:firstLine="480"/>
        <w:sectPr>
          <w:pgSz w:w="11905" w:h="16838"/>
          <w:pgMar w:top="1417" w:right="1502" w:bottom="1417" w:left="1502" w:header="850" w:footer="992" w:gutter="0"/>
          <w:cols w:space="0" w:num="1"/>
          <w:docGrid w:linePitch="312" w:charSpace="0"/>
        </w:sectPr>
      </w:pPr>
    </w:p>
    <w:p>
      <w:pPr>
        <w:pStyle w:val="2"/>
        <w:spacing w:before="240" w:after="240"/>
      </w:pPr>
      <w:bookmarkStart w:id="51" w:name="_Toc389224162"/>
      <w:bookmarkStart w:id="52" w:name="_Toc23609"/>
      <w:r>
        <w:t>6《应急预案》的启动与结束</w:t>
      </w:r>
      <w:bookmarkEnd w:id="51"/>
      <w:bookmarkEnd w:id="52"/>
    </w:p>
    <w:p>
      <w:pPr>
        <w:pStyle w:val="3"/>
        <w:spacing w:before="120" w:after="120"/>
      </w:pPr>
      <w:bookmarkStart w:id="53" w:name="_Toc389224163"/>
      <w:bookmarkStart w:id="54" w:name="_Toc7320"/>
      <w:r>
        <w:t>6.1《应急预案》启动</w:t>
      </w:r>
      <w:r>
        <w:rPr>
          <w:rFonts w:hint="eastAsia"/>
        </w:rPr>
        <w:t>与</w:t>
      </w:r>
      <w:r>
        <w:t>结束条件</w:t>
      </w:r>
      <w:bookmarkEnd w:id="53"/>
      <w:bookmarkEnd w:id="54"/>
    </w:p>
    <w:p>
      <w:pPr>
        <w:pStyle w:val="4"/>
        <w:spacing w:before="120" w:after="120"/>
      </w:pPr>
      <w:bookmarkStart w:id="55" w:name="_Toc323302936"/>
      <w:bookmarkStart w:id="56" w:name="_Toc1000"/>
      <w:r>
        <w:t>6.1.1预案启动条件</w:t>
      </w:r>
      <w:bookmarkEnd w:id="55"/>
      <w:bookmarkEnd w:id="56"/>
    </w:p>
    <w:p>
      <w:pPr>
        <w:ind w:firstLine="480"/>
      </w:pPr>
      <w:r>
        <w:fldChar w:fldCharType="begin"/>
      </w:r>
      <w:r>
        <w:instrText xml:space="preserve">=1\*GB2</w:instrText>
      </w:r>
      <w:r>
        <w:fldChar w:fldCharType="separate"/>
      </w:r>
      <w:r>
        <w:t>（1）</w:t>
      </w:r>
      <w:r>
        <w:fldChar w:fldCharType="end"/>
      </w:r>
      <w:r>
        <w:t>直接启动</w:t>
      </w:r>
    </w:p>
    <w:p>
      <w:pPr>
        <w:ind w:firstLine="480"/>
      </w:pPr>
      <w:r>
        <w:t>当水库大坝遭遇如下情况之一，并将造成特别重大或重大损失，发布红色警报，可直接启动本预案。</w:t>
      </w:r>
    </w:p>
    <w:p>
      <w:pPr>
        <w:ind w:firstLine="480"/>
      </w:pPr>
      <w:r>
        <w:t>①遭遇超标准洪水。</w:t>
      </w:r>
    </w:p>
    <w:p>
      <w:pPr>
        <w:ind w:firstLine="480"/>
      </w:pPr>
      <w:r>
        <w:t>②地震或地质灾害造成大坝溃决或即将溃决。</w:t>
      </w:r>
    </w:p>
    <w:p>
      <w:pPr>
        <w:ind w:firstLine="480"/>
      </w:pPr>
      <w:r>
        <w:t>③工程出现重大险情，大坝溃决或即将溃决。</w:t>
      </w:r>
    </w:p>
    <w:p>
      <w:pPr>
        <w:ind w:firstLine="480"/>
      </w:pPr>
      <w:r>
        <w:t>④战争、恐怖事件、人为破坏等其他原因造成大坝溃决或即将溃决。</w:t>
      </w:r>
    </w:p>
    <w:p>
      <w:pPr>
        <w:ind w:firstLine="480"/>
      </w:pPr>
      <w:r>
        <w:fldChar w:fldCharType="begin"/>
      </w:r>
      <w:r>
        <w:instrText xml:space="preserve">=2\*GB2</w:instrText>
      </w:r>
      <w:r>
        <w:fldChar w:fldCharType="separate"/>
      </w:r>
      <w:r>
        <w:t>（2）</w:t>
      </w:r>
      <w:r>
        <w:fldChar w:fldCharType="end"/>
      </w:r>
      <w:r>
        <w:t>会商启动</w:t>
      </w:r>
    </w:p>
    <w:p>
      <w:pPr>
        <w:ind w:firstLine="480"/>
      </w:pPr>
      <w:bookmarkStart w:id="57" w:name="_Toc358825993"/>
      <w:r>
        <w:t>当水库大坝遭遇如下情况之一，损失较大或一般，发布橙色或以下警报，应在会商后决定是否启动本预案。</w:t>
      </w:r>
    </w:p>
    <w:p>
      <w:pPr>
        <w:ind w:firstLine="480"/>
      </w:pPr>
      <w:r>
        <w:t>①工程出现严重险情，有可能造成大坝溃决。</w:t>
      </w:r>
    </w:p>
    <w:p>
      <w:pPr>
        <w:ind w:firstLine="480"/>
      </w:pPr>
      <w:r>
        <w:t>②监测资料明显异常，对大坝安全不利。</w:t>
      </w:r>
    </w:p>
    <w:p>
      <w:pPr>
        <w:ind w:firstLine="480"/>
      </w:pPr>
      <w:r>
        <w:t>③水情预报可能有超标准洪水。</w:t>
      </w:r>
    </w:p>
    <w:p>
      <w:pPr>
        <w:ind w:firstLine="480"/>
      </w:pPr>
      <w:r>
        <w:t>④地震或地质灾害有可能造成大坝溃决。</w:t>
      </w:r>
    </w:p>
    <w:p>
      <w:pPr>
        <w:ind w:firstLine="480"/>
      </w:pPr>
      <w:r>
        <w:t>⑤战争、恐怖事件、人为破坏等其他原因可能造成大坝溃决。</w:t>
      </w:r>
    </w:p>
    <w:p>
      <w:pPr>
        <w:pStyle w:val="4"/>
        <w:spacing w:before="120" w:after="120"/>
      </w:pPr>
      <w:r>
        <w:t>6.1.2预案启动程序</w:t>
      </w:r>
      <w:bookmarkEnd w:id="57"/>
    </w:p>
    <w:p>
      <w:pPr>
        <w:ind w:firstLine="480"/>
      </w:pPr>
      <w:r>
        <w:fldChar w:fldCharType="begin"/>
      </w:r>
      <w:r>
        <w:instrText xml:space="preserve">=1\*GB2</w:instrText>
      </w:r>
      <w:r>
        <w:fldChar w:fldCharType="separate"/>
      </w:r>
      <w:r>
        <w:t>（1）</w:t>
      </w:r>
      <w:r>
        <w:fldChar w:fldCharType="end"/>
      </w:r>
      <w:r>
        <w:t>直接启动</w:t>
      </w:r>
    </w:p>
    <w:p>
      <w:pPr>
        <w:ind w:firstLine="480"/>
      </w:pPr>
      <w:r>
        <w:t>①将水库大坝溃决或即将溃决等突发事件的信息立即报告应急指挥部指挥长。</w:t>
      </w:r>
    </w:p>
    <w:p>
      <w:pPr>
        <w:ind w:firstLine="480"/>
      </w:pPr>
      <w:r>
        <w:t>②应急指挥部指挥长接到大坝即将溃决的报告后，在规定时间内发出启动预案的命令，预案启动。</w:t>
      </w:r>
    </w:p>
    <w:p>
      <w:pPr>
        <w:ind w:firstLine="480"/>
      </w:pPr>
      <w:r>
        <w:fldChar w:fldCharType="begin"/>
      </w:r>
      <w:r>
        <w:instrText xml:space="preserve">=2\*GB2</w:instrText>
      </w:r>
      <w:r>
        <w:fldChar w:fldCharType="separate"/>
      </w:r>
      <w:r>
        <w:t>（2）</w:t>
      </w:r>
      <w:r>
        <w:fldChar w:fldCharType="end"/>
      </w:r>
      <w:r>
        <w:t>会商启动</w:t>
      </w:r>
    </w:p>
    <w:p>
      <w:pPr>
        <w:ind w:firstLine="480"/>
      </w:pPr>
      <w:r>
        <w:t>①当水库大坝出现可能导致大坝溃决险情等突发事件时，水库管理单位在规定时间内按程序报告。</w:t>
      </w:r>
    </w:p>
    <w:p>
      <w:pPr>
        <w:ind w:firstLine="480"/>
      </w:pPr>
      <w:r>
        <w:t>②应急指挥部根据险情报告，召集相关部门与专家组会商决定是否启动预案。</w:t>
      </w:r>
    </w:p>
    <w:p>
      <w:pPr>
        <w:ind w:firstLine="480"/>
      </w:pPr>
      <w:r>
        <w:t>③当会商决定启动预案时，应急指挥部指挥长在规定时间内发出启动预案的命令，预案启动。</w:t>
      </w:r>
    </w:p>
    <w:p>
      <w:pPr>
        <w:pStyle w:val="3"/>
        <w:spacing w:before="120" w:after="120"/>
      </w:pPr>
      <w:bookmarkStart w:id="58" w:name="_Toc389224164"/>
      <w:bookmarkStart w:id="59" w:name="_Toc7610"/>
      <w:r>
        <w:t>6.2预警发布和应急响应启动</w:t>
      </w:r>
      <w:bookmarkEnd w:id="58"/>
      <w:bookmarkEnd w:id="59"/>
    </w:p>
    <w:p>
      <w:pPr>
        <w:pStyle w:val="4"/>
        <w:spacing w:before="120" w:after="120"/>
      </w:pPr>
      <w:r>
        <w:t>6.2.1预警级别划分</w:t>
      </w:r>
    </w:p>
    <w:p>
      <w:pPr>
        <w:ind w:firstLine="480"/>
      </w:pPr>
      <w:r>
        <w:t>按照重庆市防汛抗旱指挥部的《关于防汛抗旱应急预案有关问题的说明》的原则规定，并依据《重庆市沙坪坝区防汛抗旱应急预案》突发事件分级和溃坝事件发生的可能性，同时结合工农水库的特征水位和大坝情况，工农水库的险情或汛情的具体标准、预警级别和标志分为以下四级，划分标准以及分级情况见表6.2-1。</w:t>
      </w:r>
    </w:p>
    <w:p>
      <w:pPr>
        <w:pStyle w:val="18"/>
        <w:rPr>
          <w:rFonts w:cs="Times New Roman"/>
        </w:rPr>
      </w:pPr>
      <w:r>
        <w:rPr>
          <w:rFonts w:cs="Times New Roman"/>
        </w:rPr>
        <w:t>表6.2-1  预警级别划分标准</w:t>
      </w:r>
    </w:p>
    <w:tbl>
      <w:tblPr>
        <w:tblStyle w:val="10"/>
        <w:tblW w:w="918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050"/>
        <w:gridCol w:w="566"/>
        <w:gridCol w:w="851"/>
        <w:gridCol w:w="67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050" w:type="dxa"/>
            <w:tcBorders>
              <w:tl2br w:val="nil"/>
              <w:tr2bl w:val="nil"/>
            </w:tcBorders>
            <w:vAlign w:val="center"/>
          </w:tcPr>
          <w:p>
            <w:pPr>
              <w:pStyle w:val="19"/>
              <w:rPr>
                <w:rFonts w:cs="Times New Roman"/>
              </w:rPr>
            </w:pPr>
            <w:r>
              <w:rPr>
                <w:rFonts w:cs="Times New Roman"/>
              </w:rPr>
              <w:t>险情级别（级别）</w:t>
            </w:r>
          </w:p>
        </w:tc>
        <w:tc>
          <w:tcPr>
            <w:tcW w:w="566" w:type="dxa"/>
            <w:tcBorders>
              <w:tl2br w:val="nil"/>
              <w:tr2bl w:val="nil"/>
            </w:tcBorders>
            <w:vAlign w:val="center"/>
          </w:tcPr>
          <w:p>
            <w:pPr>
              <w:pStyle w:val="19"/>
              <w:rPr>
                <w:rFonts w:cs="Times New Roman"/>
              </w:rPr>
            </w:pPr>
            <w:r>
              <w:rPr>
                <w:rFonts w:cs="Times New Roman"/>
              </w:rPr>
              <w:t>预警级别</w:t>
            </w:r>
          </w:p>
        </w:tc>
        <w:tc>
          <w:tcPr>
            <w:tcW w:w="851" w:type="dxa"/>
            <w:tcBorders>
              <w:tl2br w:val="nil"/>
              <w:tr2bl w:val="nil"/>
            </w:tcBorders>
            <w:vAlign w:val="center"/>
          </w:tcPr>
          <w:p>
            <w:pPr>
              <w:pStyle w:val="19"/>
              <w:rPr>
                <w:rFonts w:cs="Times New Roman"/>
              </w:rPr>
            </w:pPr>
            <w:r>
              <w:rPr>
                <w:rFonts w:cs="Times New Roman"/>
              </w:rPr>
              <w:t>预警级别标识</w:t>
            </w:r>
          </w:p>
        </w:tc>
        <w:tc>
          <w:tcPr>
            <w:tcW w:w="6718" w:type="dxa"/>
            <w:tcBorders>
              <w:tl2br w:val="nil"/>
              <w:tr2bl w:val="nil"/>
            </w:tcBorders>
            <w:vAlign w:val="center"/>
          </w:tcPr>
          <w:p>
            <w:pPr>
              <w:pStyle w:val="19"/>
              <w:rPr>
                <w:rFonts w:cs="Times New Roman"/>
              </w:rPr>
            </w:pPr>
            <w:r>
              <w:rPr>
                <w:rFonts w:cs="Times New Roman"/>
              </w:rPr>
              <w:t>划分级别标准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50" w:type="dxa"/>
            <w:tcBorders>
              <w:tl2br w:val="nil"/>
              <w:tr2bl w:val="nil"/>
            </w:tcBorders>
            <w:vAlign w:val="center"/>
          </w:tcPr>
          <w:p>
            <w:pPr>
              <w:pStyle w:val="19"/>
              <w:rPr>
                <w:rFonts w:cs="Times New Roman"/>
              </w:rPr>
            </w:pPr>
            <w:r>
              <w:rPr>
                <w:rFonts w:cs="Times New Roman"/>
              </w:rPr>
              <w:t>特大险情</w:t>
            </w:r>
          </w:p>
        </w:tc>
        <w:tc>
          <w:tcPr>
            <w:tcW w:w="566" w:type="dxa"/>
            <w:tcBorders>
              <w:tl2br w:val="nil"/>
              <w:tr2bl w:val="nil"/>
            </w:tcBorders>
            <w:vAlign w:val="center"/>
          </w:tcPr>
          <w:p>
            <w:pPr>
              <w:pStyle w:val="19"/>
              <w:rPr>
                <w:rFonts w:cs="Times New Roman"/>
              </w:rPr>
            </w:pPr>
            <w:r>
              <w:rPr>
                <w:rFonts w:cs="Times New Roman"/>
              </w:rPr>
              <w:t>Ⅰ级</w:t>
            </w:r>
          </w:p>
        </w:tc>
        <w:tc>
          <w:tcPr>
            <w:tcW w:w="851" w:type="dxa"/>
            <w:tcBorders>
              <w:tl2br w:val="nil"/>
              <w:tr2bl w:val="nil"/>
            </w:tcBorders>
            <w:vAlign w:val="center"/>
          </w:tcPr>
          <w:p>
            <w:pPr>
              <w:pStyle w:val="19"/>
              <w:rPr>
                <w:rFonts w:cs="Times New Roman"/>
              </w:rPr>
            </w:pPr>
            <w:r>
              <w:rPr>
                <w:rFonts w:cs="Times New Roman"/>
              </w:rPr>
              <w:t>红色</w:t>
            </w:r>
          </w:p>
        </w:tc>
        <w:tc>
          <w:tcPr>
            <w:tcW w:w="6718" w:type="dxa"/>
            <w:tcBorders>
              <w:tl2br w:val="nil"/>
              <w:tr2bl w:val="nil"/>
            </w:tcBorders>
            <w:vAlign w:val="center"/>
          </w:tcPr>
          <w:p>
            <w:pPr>
              <w:pStyle w:val="19"/>
              <w:jc w:val="both"/>
              <w:rPr>
                <w:rFonts w:cs="Times New Roman"/>
              </w:rPr>
            </w:pPr>
            <w:r>
              <w:rPr>
                <w:rFonts w:cs="Times New Roman"/>
              </w:rPr>
              <w:t>库水位</w:t>
            </w:r>
            <w:r>
              <w:rPr>
                <w:rFonts w:hint="eastAsia" w:cs="Times New Roman"/>
              </w:rPr>
              <w:t>超过</w:t>
            </w:r>
            <w:r>
              <w:rPr>
                <w:rFonts w:cs="Times New Roman"/>
              </w:rPr>
              <w:t>校核洪水位273.43m，预计将出现洪水频率大于P=0.2%的超标准洪水</w:t>
            </w:r>
            <w:r>
              <w:rPr>
                <w:rFonts w:cs="Times New Roman"/>
                <w:szCs w:val="21"/>
              </w:rPr>
              <w:t>（3h小时雨量达到150mm以上</w:t>
            </w:r>
            <w:r>
              <w:rPr>
                <w:rFonts w:hint="eastAsia" w:cs="Times New Roman"/>
                <w:szCs w:val="21"/>
              </w:rPr>
              <w:t>，</w:t>
            </w:r>
            <w:r>
              <w:rPr>
                <w:rFonts w:cs="Times New Roman"/>
                <w:szCs w:val="21"/>
              </w:rPr>
              <w:t>或者24小时雨量达到300mm以上）</w:t>
            </w:r>
            <w:r>
              <w:rPr>
                <w:rFonts w:cs="Times New Roman"/>
              </w:rPr>
              <w:t>，且预报库水位和下游水位仍有上升趋势，水库大坝出现可能导致溃坝的险情，出现可能影响下游群众生命安全的情况。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50" w:type="dxa"/>
            <w:tcBorders>
              <w:tl2br w:val="nil"/>
              <w:tr2bl w:val="nil"/>
            </w:tcBorders>
            <w:vAlign w:val="center"/>
          </w:tcPr>
          <w:p>
            <w:pPr>
              <w:pStyle w:val="19"/>
              <w:rPr>
                <w:rFonts w:cs="Times New Roman"/>
              </w:rPr>
            </w:pPr>
            <w:r>
              <w:rPr>
                <w:rFonts w:cs="Times New Roman"/>
              </w:rPr>
              <w:t>重大险情</w:t>
            </w:r>
          </w:p>
        </w:tc>
        <w:tc>
          <w:tcPr>
            <w:tcW w:w="566" w:type="dxa"/>
            <w:tcBorders>
              <w:tl2br w:val="nil"/>
              <w:tr2bl w:val="nil"/>
            </w:tcBorders>
            <w:vAlign w:val="center"/>
          </w:tcPr>
          <w:p>
            <w:pPr>
              <w:pStyle w:val="19"/>
              <w:rPr>
                <w:rFonts w:cs="Times New Roman"/>
              </w:rPr>
            </w:pPr>
            <w:r>
              <w:rPr>
                <w:rFonts w:cs="Times New Roman"/>
              </w:rPr>
              <w:t>Ⅱ级</w:t>
            </w:r>
          </w:p>
        </w:tc>
        <w:tc>
          <w:tcPr>
            <w:tcW w:w="851" w:type="dxa"/>
            <w:tcBorders>
              <w:tl2br w:val="nil"/>
              <w:tr2bl w:val="nil"/>
            </w:tcBorders>
            <w:vAlign w:val="center"/>
          </w:tcPr>
          <w:p>
            <w:pPr>
              <w:pStyle w:val="19"/>
              <w:rPr>
                <w:rFonts w:cs="Times New Roman"/>
              </w:rPr>
            </w:pPr>
            <w:r>
              <w:rPr>
                <w:rFonts w:cs="Times New Roman"/>
              </w:rPr>
              <w:t>橙色</w:t>
            </w:r>
          </w:p>
        </w:tc>
        <w:tc>
          <w:tcPr>
            <w:tcW w:w="6718" w:type="dxa"/>
            <w:tcBorders>
              <w:tl2br w:val="nil"/>
              <w:tr2bl w:val="nil"/>
            </w:tcBorders>
            <w:vAlign w:val="center"/>
          </w:tcPr>
          <w:p>
            <w:pPr>
              <w:pStyle w:val="19"/>
              <w:jc w:val="both"/>
              <w:rPr>
                <w:rFonts w:cs="Times New Roman"/>
              </w:rPr>
            </w:pPr>
            <w:r>
              <w:rPr>
                <w:rFonts w:cs="Times New Roman"/>
              </w:rPr>
              <w:t>库水位介于</w:t>
            </w:r>
            <w:r>
              <w:rPr>
                <w:rFonts w:hint="eastAsia" w:cs="Times New Roman"/>
              </w:rPr>
              <w:t>100年一遇</w:t>
            </w:r>
            <w:r>
              <w:rPr>
                <w:rFonts w:cs="Times New Roman"/>
              </w:rPr>
              <w:t>洪水位272.74m</w:t>
            </w:r>
            <w:r>
              <w:rPr>
                <w:rFonts w:hint="eastAsia" w:cs="Times New Roman"/>
              </w:rPr>
              <w:t>和</w:t>
            </w:r>
            <w:r>
              <w:rPr>
                <w:rFonts w:cs="Times New Roman"/>
              </w:rPr>
              <w:t>校核洪水位273.43m</w:t>
            </w:r>
            <w:r>
              <w:rPr>
                <w:rFonts w:hint="eastAsia" w:cs="Times New Roman"/>
              </w:rPr>
              <w:t>之间</w:t>
            </w:r>
            <w:r>
              <w:rPr>
                <w:rFonts w:cs="Times New Roman"/>
              </w:rPr>
              <w:t>，预计将出现洪水频率大于P=1%、小于P=0.2%的洪水</w:t>
            </w:r>
            <w:r>
              <w:rPr>
                <w:rFonts w:cs="Times New Roman"/>
                <w:szCs w:val="21"/>
              </w:rPr>
              <w:t>（3h小时雨量达到120mm</w:t>
            </w:r>
            <w:r>
              <w:rPr>
                <w:rFonts w:hint="eastAsia" w:cs="Times New Roman"/>
                <w:szCs w:val="21"/>
              </w:rPr>
              <w:t>，</w:t>
            </w:r>
            <w:r>
              <w:rPr>
                <w:rFonts w:cs="Times New Roman"/>
                <w:szCs w:val="21"/>
              </w:rPr>
              <w:t>或者24小时雨量达到250mm）</w:t>
            </w:r>
            <w:r>
              <w:rPr>
                <w:rFonts w:hint="eastAsia" w:cs="Times New Roman"/>
                <w:szCs w:val="21"/>
              </w:rPr>
              <w:t>，</w:t>
            </w:r>
            <w:r>
              <w:rPr>
                <w:rFonts w:cs="Times New Roman"/>
              </w:rPr>
              <w:t>或水库出现严重渗漏、裂缝、溢洪道损坏、局部决口等情况，将对水库安全和上下游造成较大影响。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50" w:type="dxa"/>
            <w:tcBorders>
              <w:tl2br w:val="nil"/>
              <w:tr2bl w:val="nil"/>
            </w:tcBorders>
            <w:vAlign w:val="center"/>
          </w:tcPr>
          <w:p>
            <w:pPr>
              <w:pStyle w:val="19"/>
              <w:rPr>
                <w:rFonts w:cs="Times New Roman"/>
              </w:rPr>
            </w:pPr>
            <w:r>
              <w:rPr>
                <w:rFonts w:cs="Times New Roman"/>
              </w:rPr>
              <w:t>较大险情</w:t>
            </w:r>
          </w:p>
        </w:tc>
        <w:tc>
          <w:tcPr>
            <w:tcW w:w="566" w:type="dxa"/>
            <w:tcBorders>
              <w:tl2br w:val="nil"/>
              <w:tr2bl w:val="nil"/>
            </w:tcBorders>
            <w:vAlign w:val="center"/>
          </w:tcPr>
          <w:p>
            <w:pPr>
              <w:pStyle w:val="19"/>
              <w:rPr>
                <w:rFonts w:cs="Times New Roman"/>
              </w:rPr>
            </w:pPr>
            <w:r>
              <w:rPr>
                <w:rFonts w:cs="Times New Roman"/>
              </w:rPr>
              <w:t>Ⅲ级</w:t>
            </w:r>
          </w:p>
        </w:tc>
        <w:tc>
          <w:tcPr>
            <w:tcW w:w="851" w:type="dxa"/>
            <w:tcBorders>
              <w:tl2br w:val="nil"/>
              <w:tr2bl w:val="nil"/>
            </w:tcBorders>
            <w:vAlign w:val="center"/>
          </w:tcPr>
          <w:p>
            <w:pPr>
              <w:pStyle w:val="19"/>
              <w:rPr>
                <w:rFonts w:cs="Times New Roman"/>
              </w:rPr>
            </w:pPr>
            <w:r>
              <w:rPr>
                <w:rFonts w:cs="Times New Roman"/>
              </w:rPr>
              <w:t>黄色</w:t>
            </w:r>
          </w:p>
        </w:tc>
        <w:tc>
          <w:tcPr>
            <w:tcW w:w="6718" w:type="dxa"/>
            <w:tcBorders>
              <w:tl2br w:val="nil"/>
              <w:tr2bl w:val="nil"/>
            </w:tcBorders>
            <w:vAlign w:val="center"/>
          </w:tcPr>
          <w:p>
            <w:pPr>
              <w:pStyle w:val="19"/>
              <w:jc w:val="both"/>
              <w:rPr>
                <w:rFonts w:cs="Times New Roman"/>
              </w:rPr>
            </w:pPr>
            <w:r>
              <w:rPr>
                <w:rFonts w:cs="Times New Roman"/>
              </w:rPr>
              <w:t>库水位介于设计洪水位272.65m和</w:t>
            </w:r>
            <w:r>
              <w:rPr>
                <w:rFonts w:hint="eastAsia" w:cs="Times New Roman"/>
              </w:rPr>
              <w:t>100年一遇</w:t>
            </w:r>
            <w:r>
              <w:rPr>
                <w:rFonts w:cs="Times New Roman"/>
              </w:rPr>
              <w:t>洪水位272.74m</w:t>
            </w:r>
            <w:r>
              <w:rPr>
                <w:rFonts w:hint="eastAsia" w:cs="Times New Roman"/>
              </w:rPr>
              <w:t>之间</w:t>
            </w:r>
            <w:r>
              <w:rPr>
                <w:rFonts w:cs="Times New Roman"/>
              </w:rPr>
              <w:t>，预计将出现洪水频率大于P=2%、小于P=1%的洪水</w:t>
            </w:r>
            <w:r>
              <w:rPr>
                <w:rFonts w:cs="Times New Roman"/>
                <w:szCs w:val="21"/>
              </w:rPr>
              <w:t>（3h小时雨量达到100mm</w:t>
            </w:r>
            <w:r>
              <w:rPr>
                <w:rFonts w:hint="eastAsia" w:cs="Times New Roman"/>
                <w:szCs w:val="21"/>
              </w:rPr>
              <w:t>，</w:t>
            </w:r>
            <w:r>
              <w:rPr>
                <w:rFonts w:cs="Times New Roman"/>
                <w:szCs w:val="21"/>
              </w:rPr>
              <w:t>或者24小时雨量达到150mm）</w:t>
            </w:r>
            <w:r>
              <w:rPr>
                <w:rFonts w:hint="eastAsia" w:cs="Times New Roman"/>
                <w:szCs w:val="21"/>
              </w:rPr>
              <w:t>，</w:t>
            </w:r>
            <w:r>
              <w:rPr>
                <w:rFonts w:cs="Times New Roman"/>
              </w:rPr>
              <w:t>或水库出现渗漏、裂缝、放水设施损坏、溢洪道损坏等情况，将对水库安全和上下游造成一定影响。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50" w:type="dxa"/>
            <w:tcBorders>
              <w:tl2br w:val="nil"/>
              <w:tr2bl w:val="nil"/>
            </w:tcBorders>
            <w:vAlign w:val="center"/>
          </w:tcPr>
          <w:p>
            <w:pPr>
              <w:pStyle w:val="19"/>
              <w:rPr>
                <w:rFonts w:cs="Times New Roman"/>
              </w:rPr>
            </w:pPr>
            <w:r>
              <w:rPr>
                <w:rFonts w:cs="Times New Roman"/>
              </w:rPr>
              <w:t>一般险情</w:t>
            </w:r>
          </w:p>
        </w:tc>
        <w:tc>
          <w:tcPr>
            <w:tcW w:w="566" w:type="dxa"/>
            <w:tcBorders>
              <w:tl2br w:val="nil"/>
              <w:tr2bl w:val="nil"/>
            </w:tcBorders>
            <w:vAlign w:val="center"/>
          </w:tcPr>
          <w:p>
            <w:pPr>
              <w:pStyle w:val="19"/>
              <w:rPr>
                <w:rFonts w:cs="Times New Roman"/>
              </w:rPr>
            </w:pPr>
            <w:r>
              <w:rPr>
                <w:rFonts w:cs="Times New Roman"/>
              </w:rPr>
              <w:t>Ⅳ级</w:t>
            </w:r>
          </w:p>
        </w:tc>
        <w:tc>
          <w:tcPr>
            <w:tcW w:w="851" w:type="dxa"/>
            <w:tcBorders>
              <w:tl2br w:val="nil"/>
              <w:tr2bl w:val="nil"/>
            </w:tcBorders>
            <w:vAlign w:val="center"/>
          </w:tcPr>
          <w:p>
            <w:pPr>
              <w:pStyle w:val="19"/>
              <w:rPr>
                <w:rFonts w:cs="Times New Roman"/>
              </w:rPr>
            </w:pPr>
            <w:r>
              <w:rPr>
                <w:rFonts w:cs="Times New Roman"/>
              </w:rPr>
              <w:t>蓝色</w:t>
            </w:r>
          </w:p>
        </w:tc>
        <w:tc>
          <w:tcPr>
            <w:tcW w:w="6718" w:type="dxa"/>
            <w:tcBorders>
              <w:tl2br w:val="nil"/>
              <w:tr2bl w:val="nil"/>
            </w:tcBorders>
            <w:vAlign w:val="center"/>
          </w:tcPr>
          <w:p>
            <w:pPr>
              <w:pStyle w:val="19"/>
              <w:jc w:val="both"/>
              <w:rPr>
                <w:rFonts w:cs="Times New Roman"/>
              </w:rPr>
            </w:pPr>
            <w:r>
              <w:rPr>
                <w:rFonts w:cs="Times New Roman"/>
              </w:rPr>
              <w:t>库水位介于正常蓄水位270.36m和设计洪水位272.65m之间，预计将出现洪水频率小于P=2%的洪水</w:t>
            </w:r>
            <w:r>
              <w:rPr>
                <w:rFonts w:cs="Times New Roman"/>
                <w:szCs w:val="21"/>
              </w:rPr>
              <w:t>（6h小时雨量接近80mm）</w:t>
            </w:r>
            <w:r>
              <w:rPr>
                <w:rFonts w:hint="eastAsia" w:cs="Times New Roman"/>
                <w:szCs w:val="21"/>
              </w:rPr>
              <w:t>，</w:t>
            </w:r>
            <w:r>
              <w:rPr>
                <w:rFonts w:cs="Times New Roman"/>
              </w:rPr>
              <w:t>或水库出现渗漏、裂缝、放水设施损坏、溢洪道损坏等情况。</w:t>
            </w:r>
          </w:p>
        </w:tc>
      </w:tr>
    </w:tbl>
    <w:p>
      <w:pPr>
        <w:pStyle w:val="4"/>
        <w:spacing w:before="120" w:after="120"/>
      </w:pPr>
      <w:r>
        <w:t>6.2.2应急响应</w:t>
      </w:r>
    </w:p>
    <w:p>
      <w:pPr>
        <w:ind w:firstLine="480"/>
      </w:pPr>
      <w:r>
        <w:t>水库防汛应急预警级别发布后，水库防汛各小组的分管领导应在第一时间内（2个小时以内）按不同防汛预警级别，依照各小组相应职责任务做出响应并积极开展工作，把防汛值班时间、人员、及相应开展的任务、方案、措施反馈给防汛应急指挥部，尤其在处置防汛调度、抢险救生、设备运行等发生突发应急事件要</w:t>
      </w:r>
      <w:r>
        <w:rPr>
          <w:rFonts w:hint="eastAsia"/>
          <w:lang w:eastAsia="zh-CN"/>
        </w:rPr>
        <w:t>积极</w:t>
      </w:r>
      <w:r>
        <w:t>响应、科学对待，认真处置，详尽记录，及时报告。工农水库防汛应急各小组防汛应急预警工作职责采取分级响应分级处置</w:t>
      </w:r>
      <w:r>
        <w:rPr>
          <w:rFonts w:hint="eastAsia"/>
        </w:rPr>
        <w:t>，</w:t>
      </w:r>
      <w:r>
        <w:t>各级响应具体处置内容如下：</w:t>
      </w:r>
    </w:p>
    <w:p>
      <w:pPr>
        <w:ind w:firstLine="480"/>
      </w:pPr>
      <w:bookmarkStart w:id="60" w:name="_Toc389224165"/>
      <w:r>
        <w:fldChar w:fldCharType="begin"/>
      </w:r>
      <w:r>
        <w:instrText xml:space="preserve">=1\*GB2</w:instrText>
      </w:r>
      <w:r>
        <w:fldChar w:fldCharType="separate"/>
      </w:r>
      <w:r>
        <w:t>（1）</w:t>
      </w:r>
      <w:r>
        <w:fldChar w:fldCharType="end"/>
      </w:r>
      <w:r>
        <w:fldChar w:fldCharType="begin"/>
      </w:r>
      <w:r>
        <w:instrText xml:space="preserve">=4\*ROMAN\*MERGEFORMAT</w:instrText>
      </w:r>
      <w:r>
        <w:fldChar w:fldCharType="separate"/>
      </w:r>
      <w:r>
        <w:t>Ⅳ</w:t>
      </w:r>
      <w:r>
        <w:fldChar w:fldCharType="end"/>
      </w:r>
      <w:r>
        <w:t>级应急响应处置</w:t>
      </w:r>
    </w:p>
    <w:p>
      <w:pPr>
        <w:ind w:firstLine="480"/>
      </w:pPr>
      <w:r>
        <w:t>沙坪坝区农业农村委员会主要领导主持会商，作出相应工作安排，加强对汛情的监视和对防汛工作的指导，并及时将防汛工作情况收集汇总后上报沙坪坝区防汛抗旱指挥部。</w:t>
      </w:r>
    </w:p>
    <w:p>
      <w:pPr>
        <w:ind w:firstLine="480"/>
      </w:pPr>
      <w:r>
        <w:fldChar w:fldCharType="begin"/>
      </w:r>
      <w:r>
        <w:instrText xml:space="preserve">=2\*GB2</w:instrText>
      </w:r>
      <w:r>
        <w:fldChar w:fldCharType="separate"/>
      </w:r>
      <w:r>
        <w:t>（2）</w:t>
      </w:r>
      <w:r>
        <w:fldChar w:fldCharType="end"/>
      </w:r>
      <w:r>
        <w:t>Ⅲ级应急响应处置</w:t>
      </w:r>
    </w:p>
    <w:p>
      <w:pPr>
        <w:ind w:firstLine="480"/>
      </w:pPr>
      <w:r>
        <w:t>沙坪坝区防汛抗旱指挥部副指挥长主持会商，作出相应工作安排，立即启动防汛应急预案，第一时间派出工作组赴受灾地区加强指导。</w:t>
      </w:r>
    </w:p>
    <w:p>
      <w:pPr>
        <w:ind w:firstLine="480"/>
      </w:pPr>
      <w:r>
        <w:fldChar w:fldCharType="begin"/>
      </w:r>
      <w:r>
        <w:instrText xml:space="preserve">=3\*GB2</w:instrText>
      </w:r>
      <w:r>
        <w:fldChar w:fldCharType="separate"/>
      </w:r>
      <w:r>
        <w:t>（3）</w:t>
      </w:r>
      <w:r>
        <w:fldChar w:fldCharType="end"/>
      </w:r>
      <w:r>
        <w:t>Ⅱ级应急响应处置</w:t>
      </w:r>
    </w:p>
    <w:p>
      <w:pPr>
        <w:ind w:firstLine="480"/>
      </w:pPr>
      <w:r>
        <w:t>沙坪坝区防汛抗旱指挥部副指挥长主持会商，作出相应工作安排，立即启动防汛应急预案，第一时间派出工作组赴受灾地区加强指导。</w:t>
      </w:r>
    </w:p>
    <w:p>
      <w:pPr>
        <w:ind w:firstLine="480"/>
      </w:pPr>
      <w:r>
        <w:fldChar w:fldCharType="begin"/>
      </w:r>
      <w:r>
        <w:instrText xml:space="preserve">=4\*GB2</w:instrText>
      </w:r>
      <w:r>
        <w:fldChar w:fldCharType="separate"/>
      </w:r>
      <w:r>
        <w:t>（4）</w:t>
      </w:r>
      <w:r>
        <w:fldChar w:fldCharType="end"/>
      </w:r>
      <w:r>
        <w:t>Ⅰ级应急响应处置</w:t>
      </w:r>
    </w:p>
    <w:p>
      <w:pPr>
        <w:ind w:firstLine="480"/>
        <w:rPr>
          <w:szCs w:val="28"/>
        </w:rPr>
      </w:pPr>
      <w:r>
        <w:t>沙坪坝区防汛抗旱指挥部指挥长主持会商，作出抢险救灾工作部署，并及时将防汛工作情况收集汇总后上报重庆市防汛抗旱指挥部，立即启动防汛应急预案，第一时间派出工作组赴受灾地区加强指导，并成立由沙坪坝区人民政府、沙坪坝区防汛抗旱指挥部、青木关镇人民政府、</w:t>
      </w:r>
      <w:r>
        <w:rPr>
          <w:rFonts w:hint="eastAsia"/>
        </w:rPr>
        <w:t>凤凰镇人民政府</w:t>
      </w:r>
      <w:r>
        <w:t>等单位组成的抗洪抢险救灾现场指挥部，负责抗洪抢险救灾的具体处置工作</w:t>
      </w:r>
      <w:r>
        <w:rPr>
          <w:szCs w:val="28"/>
        </w:rPr>
        <w:t>。</w:t>
      </w:r>
    </w:p>
    <w:p>
      <w:pPr>
        <w:pStyle w:val="3"/>
        <w:spacing w:before="120" w:after="120"/>
      </w:pPr>
      <w:bookmarkStart w:id="61" w:name="_Toc7363"/>
      <w:r>
        <w:t>6.3响应结束</w:t>
      </w:r>
      <w:bookmarkEnd w:id="60"/>
      <w:bookmarkEnd w:id="61"/>
    </w:p>
    <w:p>
      <w:pPr>
        <w:ind w:firstLine="480"/>
      </w:pPr>
      <w:r>
        <w:fldChar w:fldCharType="begin"/>
      </w:r>
      <w:r>
        <w:instrText xml:space="preserve">=1\*GB2</w:instrText>
      </w:r>
      <w:r>
        <w:fldChar w:fldCharType="separate"/>
      </w:r>
      <w:r>
        <w:t>（1）</w:t>
      </w:r>
      <w:r>
        <w:fldChar w:fldCharType="end"/>
      </w:r>
      <w:r>
        <w:t>应急结束的条件</w:t>
      </w:r>
    </w:p>
    <w:p>
      <w:pPr>
        <w:ind w:firstLine="480"/>
      </w:pPr>
      <w:r>
        <w:t>当洪水灾害、大坝险情、泄水建筑物险情、地震地质灾害导致水库大坝垮坝的险情、战争或恐怖活动而引发导致水库大坝垮坝的险情，得到有效控制或工农水库防汛应急指挥部根据气象警报的解除，结合水库雨情结束，库水位回落到安全允许值，水库停止溢洪，提出应急响应结束的申请。</w:t>
      </w:r>
    </w:p>
    <w:p>
      <w:pPr>
        <w:ind w:firstLine="480"/>
      </w:pPr>
      <w:r>
        <w:fldChar w:fldCharType="begin"/>
      </w:r>
      <w:r>
        <w:instrText xml:space="preserve">=2\*GB2</w:instrText>
      </w:r>
      <w:r>
        <w:fldChar w:fldCharType="separate"/>
      </w:r>
      <w:r>
        <w:t>（2）</w:t>
      </w:r>
      <w:r>
        <w:fldChar w:fldCharType="end"/>
      </w:r>
      <w:r>
        <w:t>应急结束的程序</w:t>
      </w:r>
    </w:p>
    <w:p>
      <w:pPr>
        <w:ind w:firstLine="480"/>
      </w:pPr>
      <w:r>
        <w:t>当水库大坝险情通过科学调度抢险，使险情得到有效控制时，由水库防汛抢险指挥部决定结束《应急预案》，经指挥部批准，由指挥长宣布应急状态结束。</w:t>
      </w:r>
    </w:p>
    <w:p>
      <w:pPr>
        <w:pStyle w:val="2"/>
        <w:spacing w:before="240" w:after="240"/>
      </w:pPr>
      <w:bookmarkStart w:id="62" w:name="_Toc389224166"/>
      <w:r>
        <w:rPr>
          <w:sz w:val="30"/>
          <w:szCs w:val="30"/>
        </w:rPr>
        <w:br w:type="page"/>
      </w:r>
      <w:bookmarkStart w:id="63" w:name="_Toc31948"/>
      <w:r>
        <w:rPr>
          <w:rStyle w:val="15"/>
          <w:b/>
          <w:bCs/>
        </w:rPr>
        <w:t>7应急保障措施</w:t>
      </w:r>
      <w:bookmarkEnd w:id="63"/>
    </w:p>
    <w:bookmarkEnd w:id="62"/>
    <w:p>
      <w:pPr>
        <w:pStyle w:val="3"/>
        <w:spacing w:before="120" w:after="120"/>
      </w:pPr>
      <w:bookmarkStart w:id="64" w:name="_Toc389224167"/>
      <w:bookmarkStart w:id="65" w:name="_Toc22514"/>
      <w:r>
        <w:t>7.1</w:t>
      </w:r>
      <w:bookmarkEnd w:id="64"/>
      <w:r>
        <w:t>组织指挥体系及职责</w:t>
      </w:r>
      <w:bookmarkEnd w:id="65"/>
    </w:p>
    <w:p>
      <w:pPr>
        <w:ind w:firstLine="480"/>
      </w:pPr>
      <w:r>
        <w:t>依据《中华人民共和国防洪法》规定，防汛抗洪工作实行行政首长负责制和分级分部门责任制的原则。成立工农水库防汛应急指挥部。根据不同等级抢险调度权限划分，工农水库应急抢险成员单位分为三级组织体系，一级由沙坪坝区防汛抗旱指挥部人员组成，见表7.1-1；二级由青木关镇防汛抗旱指挥部人员组成，见表7.1-2，三级由水库下游各村责任人和水库管理单位组成，见表7.1-3</w:t>
      </w:r>
      <w:r>
        <w:rPr>
          <w:rFonts w:hint="eastAsia"/>
        </w:rPr>
        <w:t>。</w:t>
      </w:r>
    </w:p>
    <w:p>
      <w:pPr>
        <w:ind w:firstLine="480"/>
      </w:pPr>
      <w:r>
        <w:t>水库险情发生后，沙坪坝区防汛抗旱指挥部负责发布水库险情预警，启动应急响应，开展水库防汛抢险的应急处置工作。沙坪坝区防汛抗旱指挥部职责如下：</w:t>
      </w:r>
    </w:p>
    <w:p>
      <w:pPr>
        <w:ind w:firstLine="480"/>
      </w:pPr>
      <w:r>
        <w:fldChar w:fldCharType="begin"/>
      </w:r>
      <w:r>
        <w:instrText xml:space="preserve">=1\*GB2</w:instrText>
      </w:r>
      <w:r>
        <w:fldChar w:fldCharType="separate"/>
      </w:r>
      <w:r>
        <w:t>（1）</w:t>
      </w:r>
      <w:r>
        <w:fldChar w:fldCharType="end"/>
      </w:r>
      <w:r>
        <w:t>做好有关水库安全管理抢险的各项文秘工作，并负责前线指挥人员车辆、食宿安排等后勤工作。</w:t>
      </w:r>
    </w:p>
    <w:p>
      <w:pPr>
        <w:ind w:firstLine="480"/>
      </w:pPr>
      <w:r>
        <w:fldChar w:fldCharType="begin"/>
      </w:r>
      <w:r>
        <w:instrText xml:space="preserve">=2\*GB2</w:instrText>
      </w:r>
      <w:r>
        <w:fldChar w:fldCharType="separate"/>
      </w:r>
      <w:r>
        <w:t>（2）</w:t>
      </w:r>
      <w:r>
        <w:fldChar w:fldCharType="end"/>
      </w:r>
      <w:r>
        <w:t>随时掌握天气、雨情、水情和灾情，分析其态势，及时提出抗洪抢险意见，确定《</w:t>
      </w:r>
      <w:r>
        <w:rPr>
          <w:rFonts w:hint="eastAsia"/>
        </w:rPr>
        <w:t>应急</w:t>
      </w:r>
      <w:r>
        <w:t>预案》的启动或结束时机，供领导决策和决定；保证防洪抢险信息的上传下达；采用图文形式，确定灾区抢险队伍驻地位置、负责人姓名、队伍人数等。</w:t>
      </w:r>
    </w:p>
    <w:p>
      <w:pPr>
        <w:ind w:firstLine="480"/>
      </w:pPr>
      <w:r>
        <w:fldChar w:fldCharType="begin"/>
      </w:r>
      <w:r>
        <w:instrText xml:space="preserve">=3\*GB2</w:instrText>
      </w:r>
      <w:r>
        <w:fldChar w:fldCharType="separate"/>
      </w:r>
      <w:r>
        <w:t>（3）</w:t>
      </w:r>
      <w:r>
        <w:fldChar w:fldCharType="end"/>
      </w:r>
      <w:r>
        <w:t>做好抗洪抢险实况的宣传报</w:t>
      </w:r>
      <w:r>
        <w:rPr>
          <w:rFonts w:hint="eastAsia"/>
          <w:lang w:eastAsia="zh-CN"/>
        </w:rPr>
        <w:t>道</w:t>
      </w:r>
      <w:r>
        <w:t>，充分利用广播、电视、报纸等宣传工具，发布汛情简报，安定民心。</w:t>
      </w:r>
    </w:p>
    <w:p>
      <w:pPr>
        <w:ind w:firstLine="480"/>
      </w:pPr>
      <w:r>
        <w:t>（4）组织工程技术专家对水库出现险情时提出分析意见和应对措施，并对发生的重大问题制定出切实可行的抢险实施方案；负责抢险工作的技术指导，并监督抢险实施方案的完成。</w:t>
      </w:r>
    </w:p>
    <w:p>
      <w:pPr>
        <w:ind w:firstLine="480"/>
      </w:pPr>
      <w:r>
        <w:t>（5）协调落实抗洪抢险工地及区域治安保卫工作，保障抢险队伍交通畅通无阻。</w:t>
      </w:r>
    </w:p>
    <w:p>
      <w:pPr>
        <w:ind w:firstLine="480"/>
      </w:pPr>
      <w:r>
        <w:t>（6）负责解决抢险所需的运输车辆和船只；组织维修抗洪抢险队伍所通过的道路；用图纸和文字相结合的形式标明车辆、船只待命的地点和数量；组织车辆维修组到抢险工地抢修车辆。</w:t>
      </w:r>
    </w:p>
    <w:p>
      <w:pPr>
        <w:ind w:firstLine="480"/>
      </w:pPr>
      <w:r>
        <w:t>（7）组织抗洪抢险救灾突击队；撤离、转移和解救被洪水围困的群众；转移国家或群众的财产、物资；工程房屋抢险。</w:t>
      </w:r>
    </w:p>
    <w:p>
      <w:pPr>
        <w:ind w:firstLine="480"/>
      </w:pPr>
      <w:bookmarkStart w:id="66" w:name="_Toc389224168"/>
      <w:r>
        <w:rPr>
          <w:rFonts w:hint="eastAsia"/>
        </w:rPr>
        <w:t>由沙坪坝区防汛抗旱指挥部组织成立工农水库抢险救援技术专家组，根据突发事件的类别和性质，请示政府及时调集和组织水利、工程管理、气象、医疗卫生、公共安全、环境保护、救灾、通信等相关技术专家，分析事故发生原因，评估预测事故发展趋势，提出消减事故对人员和财产危害的应急救援技术措施和对策，为区政府应急办公室及现场应急处置指挥机构提供决策依据和技术支持。</w:t>
      </w:r>
    </w:p>
    <w:p>
      <w:pPr>
        <w:ind w:firstLine="480"/>
      </w:pPr>
      <w:r>
        <w:rPr>
          <w:rFonts w:hint="eastAsia"/>
        </w:rPr>
        <w:t>主要职责：根据应急事件的部位、预警响应级别和专业特性等，专家到达现场，协助制订技术方案和措施，指导防汛应急抢险救灾。</w:t>
      </w:r>
    </w:p>
    <w:p>
      <w:pPr>
        <w:spacing w:line="500" w:lineRule="exact"/>
        <w:ind w:firstLine="480"/>
      </w:pPr>
      <w:r>
        <w:rPr>
          <w:rFonts w:hint="eastAsia"/>
        </w:rPr>
        <w:t>水库抢险救援专家组人员</w:t>
      </w:r>
      <w:r>
        <w:t>组成，见表7.1-</w:t>
      </w:r>
      <w:r>
        <w:rPr>
          <w:rFonts w:hint="eastAsia"/>
        </w:rPr>
        <w:t>5。</w:t>
      </w:r>
    </w:p>
    <w:p>
      <w:pPr>
        <w:pStyle w:val="3"/>
        <w:spacing w:before="120" w:after="120"/>
      </w:pPr>
      <w:bookmarkStart w:id="67" w:name="_Toc23724"/>
      <w:r>
        <w:t>7.2</w:t>
      </w:r>
      <w:r>
        <w:rPr>
          <w:rFonts w:hint="eastAsia"/>
        </w:rPr>
        <w:t>应急</w:t>
      </w:r>
      <w:r>
        <w:t>队伍保障</w:t>
      </w:r>
      <w:bookmarkEnd w:id="66"/>
      <w:bookmarkEnd w:id="67"/>
    </w:p>
    <w:p>
      <w:pPr>
        <w:ind w:firstLine="480"/>
      </w:pPr>
      <w:r>
        <w:t>成立工农水库应急抢险与救援队伍，应急抢险队伍负责大坝工程的险情抢护；应急救援队伍负责组织人员撤离转移、遇险人员救助以及撤离转移过程中的救援工作。队伍由专业抢险队、群众抢险队、人民解放军和武警部队组成。</w:t>
      </w:r>
    </w:p>
    <w:p>
      <w:pPr>
        <w:ind w:firstLine="480"/>
      </w:pPr>
      <w:r>
        <w:rPr>
          <w:rFonts w:hint="eastAsia"/>
        </w:rPr>
        <w:t>（1）</w:t>
      </w:r>
      <w:r>
        <w:t>专业抢险队</w:t>
      </w:r>
      <w:r>
        <w:rPr>
          <w:rFonts w:hint="eastAsia"/>
        </w:rPr>
        <w:t>。</w:t>
      </w:r>
      <w:r>
        <w:t>专业抢险队主要负责工农水库防洪工程查检、抢险技术指导和一般险情的抢护。</w:t>
      </w:r>
    </w:p>
    <w:p>
      <w:pPr>
        <w:ind w:firstLine="480"/>
      </w:pPr>
      <w:r>
        <w:rPr>
          <w:rFonts w:hint="eastAsia"/>
        </w:rPr>
        <w:t>（2）</w:t>
      </w:r>
      <w:r>
        <w:t>群众抢险队。群众抢险队主要承担终点工程部位的防守、查险、抢险及料物运送等任务。一般由村镇的村民组成，村镇的村长负责。工农水库防汛应急指挥部根据需要，成立工农水库、青木关镇等有关村镇共100人的群众抢险队。</w:t>
      </w:r>
    </w:p>
    <w:p>
      <w:pPr>
        <w:ind w:firstLine="480"/>
      </w:pPr>
      <w:r>
        <w:rPr>
          <w:rFonts w:hint="eastAsia"/>
        </w:rPr>
        <w:t>（3）</w:t>
      </w:r>
      <w:r>
        <w:t>人民解放军、武警部队。人民解放军、武警部队是抗洪抢险的中坚力量。担负着急、重、险、难任务，当出现重大险情时根据需要经批准后按部队调动程序出动。</w:t>
      </w:r>
    </w:p>
    <w:p>
      <w:pPr>
        <w:pStyle w:val="3"/>
        <w:spacing w:before="120" w:after="120"/>
      </w:pPr>
      <w:bookmarkStart w:id="68" w:name="_Toc389224169"/>
      <w:bookmarkStart w:id="69" w:name="_Toc13354"/>
      <w:r>
        <w:t>7.3物资保障</w:t>
      </w:r>
      <w:bookmarkEnd w:id="68"/>
      <w:bookmarkEnd w:id="69"/>
    </w:p>
    <w:p>
      <w:pPr>
        <w:ind w:firstLine="480"/>
      </w:pPr>
      <w:r>
        <w:t>根据国家防总《防汛物资储备定额编制规程》</w:t>
      </w:r>
      <w:r>
        <w:rPr>
          <w:rFonts w:hint="eastAsia"/>
        </w:rPr>
        <w:t>（SL298-2004）</w:t>
      </w:r>
      <w:r>
        <w:t>，常规水库防汛物资储备数量，主要取决于其安全程度、坝高、坝长、有无副坝等因素。</w:t>
      </w:r>
      <w:r>
        <w:rPr>
          <w:rFonts w:hint="eastAsia"/>
        </w:rPr>
        <w:t>工农水库为小（1）型水库，大坝长</w:t>
      </w:r>
      <w:r>
        <w:t>88.8</w:t>
      </w:r>
      <w:r>
        <w:rPr>
          <w:rFonts w:hint="eastAsia"/>
        </w:rPr>
        <w:t>m，</w:t>
      </w:r>
      <w:r>
        <w:t>最大坝高18.217</w:t>
      </w:r>
      <w:r>
        <w:rPr>
          <w:rFonts w:hint="eastAsia"/>
        </w:rPr>
        <w:t>m，大坝安全鉴定为二类坝，按规定，其应当储备防汛物资品种及数量见表7.3-1。</w:t>
      </w:r>
    </w:p>
    <w:p>
      <w:pPr>
        <w:ind w:firstLine="0" w:firstLineChars="0"/>
        <w:jc w:val="center"/>
        <w:rPr>
          <w:b/>
          <w:bCs/>
        </w:rPr>
      </w:pPr>
      <w:r>
        <w:rPr>
          <w:rFonts w:hint="eastAsia"/>
          <w:b/>
          <w:bCs/>
        </w:rPr>
        <w:t>表7.3-1  工农水库应当储备防汛物资品种及数量表</w:t>
      </w:r>
    </w:p>
    <w:tbl>
      <w:tblPr>
        <w:tblStyle w:val="1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37"/>
        <w:gridCol w:w="3039"/>
        <w:gridCol w:w="30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33" w:type="pct"/>
            <w:gridSpan w:val="2"/>
            <w:tcBorders>
              <w:tl2br w:val="nil"/>
              <w:tr2bl w:val="nil"/>
            </w:tcBorders>
            <w:shd w:val="clear" w:color="auto" w:fill="auto"/>
            <w:vAlign w:val="center"/>
          </w:tcPr>
          <w:p>
            <w:pPr>
              <w:pStyle w:val="19"/>
              <w:rPr>
                <w:rFonts w:cs="Times New Roman"/>
              </w:rPr>
            </w:pPr>
            <w:r>
              <w:rPr>
                <w:rFonts w:cs="Times New Roman"/>
              </w:rPr>
              <w:t>种类</w:t>
            </w:r>
          </w:p>
        </w:tc>
        <w:tc>
          <w:tcPr>
            <w:tcW w:w="1666" w:type="pct"/>
            <w:tcBorders>
              <w:tl2br w:val="nil"/>
              <w:tr2bl w:val="nil"/>
            </w:tcBorders>
            <w:shd w:val="clear" w:color="auto" w:fill="auto"/>
            <w:vAlign w:val="center"/>
          </w:tcPr>
          <w:p>
            <w:pPr>
              <w:pStyle w:val="19"/>
              <w:rPr>
                <w:rFonts w:cs="Times New Roman"/>
              </w:rPr>
            </w:pPr>
            <w:r>
              <w:rPr>
                <w:rFonts w:cs="Times New Roman"/>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restart"/>
            <w:tcBorders>
              <w:tl2br w:val="nil"/>
              <w:tr2bl w:val="nil"/>
            </w:tcBorders>
            <w:shd w:val="clear" w:color="auto" w:fill="auto"/>
            <w:vAlign w:val="center"/>
          </w:tcPr>
          <w:p>
            <w:pPr>
              <w:pStyle w:val="19"/>
              <w:rPr>
                <w:rFonts w:cs="Times New Roman"/>
              </w:rPr>
            </w:pPr>
            <w:r>
              <w:rPr>
                <w:rFonts w:cs="Times New Roman"/>
              </w:rPr>
              <w:t>抢险物料</w:t>
            </w:r>
          </w:p>
        </w:tc>
        <w:tc>
          <w:tcPr>
            <w:tcW w:w="1666" w:type="pct"/>
            <w:tcBorders>
              <w:tl2br w:val="nil"/>
              <w:tr2bl w:val="nil"/>
            </w:tcBorders>
            <w:shd w:val="clear" w:color="auto" w:fill="auto"/>
            <w:vAlign w:val="center"/>
          </w:tcPr>
          <w:p>
            <w:pPr>
              <w:pStyle w:val="19"/>
              <w:rPr>
                <w:rFonts w:cs="Times New Roman"/>
              </w:rPr>
            </w:pPr>
            <w:r>
              <w:rPr>
                <w:rFonts w:cs="Times New Roman"/>
              </w:rPr>
              <w:t>袋类</w:t>
            </w:r>
            <w:r>
              <w:rPr>
                <w:rFonts w:hint="eastAsia" w:cs="Times New Roman"/>
              </w:rPr>
              <w:t>（</w:t>
            </w:r>
            <w:r>
              <w:rPr>
                <w:rFonts w:cs="Times New Roman"/>
              </w:rPr>
              <w:t>条</w:t>
            </w:r>
            <w:r>
              <w:rPr>
                <w:rFonts w:hint="eastAsia" w:cs="Times New Roman"/>
              </w:rPr>
              <w:t>）</w:t>
            </w:r>
          </w:p>
        </w:tc>
        <w:tc>
          <w:tcPr>
            <w:tcW w:w="3039" w:type="dxa"/>
            <w:tcBorders>
              <w:tl2br w:val="nil"/>
              <w:tr2bl w:val="nil"/>
            </w:tcBorders>
            <w:shd w:val="clear" w:color="auto" w:fill="auto"/>
            <w:vAlign w:val="center"/>
          </w:tcPr>
          <w:p>
            <w:pPr>
              <w:pStyle w:val="19"/>
              <w:rPr>
                <w:rFonts w:cs="Times New Roman"/>
              </w:rPr>
            </w:pPr>
            <w:r>
              <w:rPr>
                <w:rFonts w:cs="Times New Roman"/>
              </w:rPr>
              <w:t xml:space="preserve">4064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土工布</w:t>
            </w:r>
            <w:r>
              <w:rPr>
                <w:rFonts w:hint="eastAsia" w:cs="Times New Roman"/>
              </w:rPr>
              <w:t>（</w:t>
            </w:r>
            <w:r>
              <w:rPr>
                <w:rFonts w:cs="Times New Roman"/>
              </w:rPr>
              <w:t>m²</w:t>
            </w:r>
            <w:r>
              <w:rPr>
                <w:rFonts w:hint="eastAsia" w:cs="Times New Roman"/>
              </w:rPr>
              <w:t>）</w:t>
            </w:r>
          </w:p>
        </w:tc>
        <w:tc>
          <w:tcPr>
            <w:tcW w:w="3039" w:type="dxa"/>
            <w:tcBorders>
              <w:tl2br w:val="nil"/>
              <w:tr2bl w:val="nil"/>
            </w:tcBorders>
            <w:shd w:val="clear" w:color="auto" w:fill="auto"/>
            <w:vAlign w:val="center"/>
          </w:tcPr>
          <w:p>
            <w:pPr>
              <w:pStyle w:val="19"/>
              <w:rPr>
                <w:rFonts w:cs="Times New Roman"/>
              </w:rPr>
            </w:pPr>
            <w:r>
              <w:rPr>
                <w:rFonts w:cs="Times New Roman"/>
              </w:rPr>
              <w:t>1806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砂石料</w:t>
            </w:r>
            <w:r>
              <w:rPr>
                <w:rFonts w:hint="eastAsia" w:cs="Times New Roman"/>
              </w:rPr>
              <w:t>（</w:t>
            </w:r>
            <w:r>
              <w:rPr>
                <w:rFonts w:cs="Times New Roman"/>
              </w:rPr>
              <w:t>m³</w:t>
            </w:r>
            <w:r>
              <w:rPr>
                <w:rFonts w:hint="eastAsia" w:cs="Times New Roman"/>
              </w:rPr>
              <w:t>）</w:t>
            </w:r>
          </w:p>
        </w:tc>
        <w:tc>
          <w:tcPr>
            <w:tcW w:w="3039" w:type="dxa"/>
            <w:tcBorders>
              <w:tl2br w:val="nil"/>
              <w:tr2bl w:val="nil"/>
            </w:tcBorders>
            <w:shd w:val="clear" w:color="auto" w:fill="auto"/>
            <w:vAlign w:val="center"/>
          </w:tcPr>
          <w:p>
            <w:pPr>
              <w:pStyle w:val="19"/>
              <w:rPr>
                <w:rFonts w:cs="Times New Roman"/>
              </w:rPr>
            </w:pPr>
            <w:r>
              <w:rPr>
                <w:rFonts w:cs="Times New Roman"/>
              </w:rPr>
              <w:t xml:space="preserve">452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块石</w:t>
            </w:r>
            <w:r>
              <w:rPr>
                <w:rFonts w:hint="eastAsia" w:cs="Times New Roman"/>
              </w:rPr>
              <w:t>（</w:t>
            </w:r>
            <w:r>
              <w:rPr>
                <w:rFonts w:cs="Times New Roman"/>
              </w:rPr>
              <w:t>m³</w:t>
            </w:r>
            <w:r>
              <w:rPr>
                <w:rFonts w:hint="eastAsia" w:cs="Times New Roman"/>
              </w:rPr>
              <w:t>）</w:t>
            </w:r>
          </w:p>
        </w:tc>
        <w:tc>
          <w:tcPr>
            <w:tcW w:w="3039" w:type="dxa"/>
            <w:tcBorders>
              <w:tl2br w:val="nil"/>
              <w:tr2bl w:val="nil"/>
            </w:tcBorders>
            <w:shd w:val="clear" w:color="auto" w:fill="auto"/>
            <w:vAlign w:val="center"/>
          </w:tcPr>
          <w:p>
            <w:pPr>
              <w:pStyle w:val="19"/>
              <w:rPr>
                <w:rFonts w:cs="Times New Roman"/>
              </w:rPr>
            </w:pPr>
            <w:r>
              <w:rPr>
                <w:rFonts w:cs="Times New Roman"/>
              </w:rPr>
              <w:t xml:space="preserve">452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铅丝</w:t>
            </w:r>
            <w:r>
              <w:rPr>
                <w:rFonts w:hint="eastAsia" w:cs="Times New Roman"/>
              </w:rPr>
              <w:t>（</w:t>
            </w:r>
            <w:r>
              <w:rPr>
                <w:rFonts w:cs="Times New Roman"/>
              </w:rPr>
              <w:t>Kg</w:t>
            </w:r>
            <w:r>
              <w:rPr>
                <w:rFonts w:hint="eastAsia" w:cs="Times New Roman"/>
              </w:rPr>
              <w:t>）</w:t>
            </w:r>
          </w:p>
        </w:tc>
        <w:tc>
          <w:tcPr>
            <w:tcW w:w="3039" w:type="dxa"/>
            <w:tcBorders>
              <w:tl2br w:val="nil"/>
              <w:tr2bl w:val="nil"/>
            </w:tcBorders>
            <w:shd w:val="clear" w:color="auto" w:fill="auto"/>
            <w:vAlign w:val="center"/>
          </w:tcPr>
          <w:p>
            <w:pPr>
              <w:pStyle w:val="19"/>
              <w:rPr>
                <w:rFonts w:cs="Times New Roman"/>
              </w:rPr>
            </w:pPr>
            <w:r>
              <w:rPr>
                <w:rFonts w:cs="Times New Roman"/>
              </w:rPr>
              <w:t xml:space="preserve">452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桩木</w:t>
            </w:r>
            <w:r>
              <w:rPr>
                <w:rFonts w:hint="eastAsia" w:cs="Times New Roman"/>
              </w:rPr>
              <w:t>（</w:t>
            </w:r>
            <w:r>
              <w:rPr>
                <w:rFonts w:cs="Times New Roman"/>
              </w:rPr>
              <w:t>m³</w:t>
            </w:r>
            <w:r>
              <w:rPr>
                <w:rFonts w:hint="eastAsia" w:cs="Times New Roman"/>
              </w:rPr>
              <w:t>）</w:t>
            </w:r>
          </w:p>
        </w:tc>
        <w:tc>
          <w:tcPr>
            <w:tcW w:w="3039" w:type="dxa"/>
            <w:tcBorders>
              <w:tl2br w:val="nil"/>
              <w:tr2bl w:val="nil"/>
            </w:tcBorders>
            <w:shd w:val="clear" w:color="auto" w:fill="auto"/>
            <w:vAlign w:val="center"/>
          </w:tcPr>
          <w:p>
            <w:pPr>
              <w:pStyle w:val="19"/>
              <w:rPr>
                <w:rFonts w:cs="Times New Roman"/>
              </w:rPr>
            </w:pPr>
            <w:r>
              <w:rPr>
                <w:rFonts w:cs="Times New Roman"/>
              </w:rPr>
              <w:t xml:space="preserve">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restart"/>
            <w:tcBorders>
              <w:tl2br w:val="nil"/>
              <w:tr2bl w:val="nil"/>
            </w:tcBorders>
            <w:shd w:val="clear" w:color="auto" w:fill="auto"/>
            <w:vAlign w:val="center"/>
          </w:tcPr>
          <w:p>
            <w:pPr>
              <w:pStyle w:val="19"/>
              <w:rPr>
                <w:rFonts w:cs="Times New Roman"/>
              </w:rPr>
            </w:pPr>
            <w:r>
              <w:rPr>
                <w:rFonts w:cs="Times New Roman"/>
              </w:rPr>
              <w:t>救生器材</w:t>
            </w:r>
          </w:p>
        </w:tc>
        <w:tc>
          <w:tcPr>
            <w:tcW w:w="1666" w:type="pct"/>
            <w:tcBorders>
              <w:tl2br w:val="nil"/>
              <w:tr2bl w:val="nil"/>
            </w:tcBorders>
            <w:shd w:val="clear" w:color="auto" w:fill="auto"/>
            <w:vAlign w:val="center"/>
          </w:tcPr>
          <w:p>
            <w:pPr>
              <w:pStyle w:val="19"/>
              <w:rPr>
                <w:rFonts w:cs="Times New Roman"/>
              </w:rPr>
            </w:pPr>
            <w:r>
              <w:rPr>
                <w:rFonts w:cs="Times New Roman"/>
              </w:rPr>
              <w:t>救生衣</w:t>
            </w:r>
            <w:r>
              <w:rPr>
                <w:rFonts w:hint="eastAsia" w:cs="Times New Roman"/>
              </w:rPr>
              <w:t>（</w:t>
            </w:r>
            <w:r>
              <w:rPr>
                <w:rFonts w:cs="Times New Roman"/>
              </w:rPr>
              <w:t>件</w:t>
            </w:r>
            <w:r>
              <w:rPr>
                <w:rFonts w:hint="eastAsia" w:cs="Times New Roman"/>
              </w:rPr>
              <w:t>）</w:t>
            </w:r>
          </w:p>
        </w:tc>
        <w:tc>
          <w:tcPr>
            <w:tcW w:w="3039" w:type="dxa"/>
            <w:tcBorders>
              <w:tl2br w:val="nil"/>
              <w:tr2bl w:val="nil"/>
            </w:tcBorders>
            <w:shd w:val="clear" w:color="auto" w:fill="auto"/>
            <w:vAlign w:val="center"/>
          </w:tcPr>
          <w:p>
            <w:pPr>
              <w:pStyle w:val="19"/>
              <w:rPr>
                <w:rFonts w:cs="Times New Roman"/>
              </w:rPr>
            </w:pPr>
            <w:r>
              <w:rPr>
                <w:rFonts w:cs="Times New Roman"/>
              </w:rPr>
              <w:t xml:space="preserve">45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抢险救生舟</w:t>
            </w:r>
            <w:r>
              <w:rPr>
                <w:rFonts w:hint="eastAsia" w:cs="Times New Roman"/>
              </w:rPr>
              <w:t>（</w:t>
            </w:r>
            <w:r>
              <w:rPr>
                <w:rFonts w:cs="Times New Roman"/>
              </w:rPr>
              <w:t>艘</w:t>
            </w:r>
            <w:r>
              <w:rPr>
                <w:rFonts w:hint="eastAsia" w:cs="Times New Roman"/>
              </w:rPr>
              <w:t>）</w:t>
            </w:r>
          </w:p>
        </w:tc>
        <w:tc>
          <w:tcPr>
            <w:tcW w:w="3039" w:type="dxa"/>
            <w:tcBorders>
              <w:tl2br w:val="nil"/>
              <w:tr2bl w:val="nil"/>
            </w:tcBorders>
            <w:shd w:val="clear" w:color="auto" w:fill="auto"/>
            <w:vAlign w:val="center"/>
          </w:tcPr>
          <w:p>
            <w:pPr>
              <w:pStyle w:val="19"/>
              <w:rPr>
                <w:rFonts w:cs="Times New Roman"/>
              </w:rPr>
            </w:pPr>
            <w:r>
              <w:rPr>
                <w:rFonts w:cs="Times New Roman"/>
              </w:rPr>
              <w:t xml:space="preserve">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restart"/>
            <w:tcBorders>
              <w:tl2br w:val="nil"/>
              <w:tr2bl w:val="nil"/>
            </w:tcBorders>
            <w:shd w:val="clear" w:color="auto" w:fill="auto"/>
            <w:vAlign w:val="center"/>
          </w:tcPr>
          <w:p>
            <w:pPr>
              <w:pStyle w:val="19"/>
              <w:rPr>
                <w:rFonts w:cs="Times New Roman"/>
              </w:rPr>
            </w:pPr>
            <w:r>
              <w:rPr>
                <w:rFonts w:cs="Times New Roman"/>
              </w:rPr>
              <w:t>小型抢险机具</w:t>
            </w:r>
          </w:p>
        </w:tc>
        <w:tc>
          <w:tcPr>
            <w:tcW w:w="1666" w:type="pct"/>
            <w:tcBorders>
              <w:tl2br w:val="nil"/>
              <w:tr2bl w:val="nil"/>
            </w:tcBorders>
            <w:shd w:val="clear" w:color="auto" w:fill="auto"/>
            <w:vAlign w:val="center"/>
          </w:tcPr>
          <w:p>
            <w:pPr>
              <w:pStyle w:val="19"/>
              <w:rPr>
                <w:rFonts w:cs="Times New Roman"/>
              </w:rPr>
            </w:pPr>
            <w:r>
              <w:rPr>
                <w:rFonts w:cs="Times New Roman"/>
              </w:rPr>
              <w:t>发电机组</w:t>
            </w:r>
            <w:r>
              <w:rPr>
                <w:rFonts w:hint="eastAsia" w:cs="Times New Roman"/>
              </w:rPr>
              <w:t>（</w:t>
            </w:r>
            <w:r>
              <w:rPr>
                <w:rFonts w:cs="Times New Roman"/>
              </w:rPr>
              <w:t>Kw</w:t>
            </w:r>
            <w:r>
              <w:rPr>
                <w:rFonts w:hint="eastAsia" w:cs="Times New Roman"/>
              </w:rPr>
              <w:t>）</w:t>
            </w:r>
          </w:p>
        </w:tc>
        <w:tc>
          <w:tcPr>
            <w:tcW w:w="3039" w:type="dxa"/>
            <w:tcBorders>
              <w:tl2br w:val="nil"/>
              <w:tr2bl w:val="nil"/>
            </w:tcBorders>
            <w:shd w:val="clear" w:color="auto" w:fill="auto"/>
            <w:vAlign w:val="center"/>
          </w:tcPr>
          <w:p>
            <w:pPr>
              <w:pStyle w:val="19"/>
              <w:rPr>
                <w:rFonts w:cs="Times New Roman"/>
              </w:rPr>
            </w:pPr>
            <w:r>
              <w:rPr>
                <w:rFonts w:cs="Times New Roman"/>
              </w:rPr>
              <w:t xml:space="preserve">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便携式工作灯（只）</w:t>
            </w:r>
          </w:p>
        </w:tc>
        <w:tc>
          <w:tcPr>
            <w:tcW w:w="3039" w:type="dxa"/>
            <w:tcBorders>
              <w:tl2br w:val="nil"/>
              <w:tr2bl w:val="nil"/>
            </w:tcBorders>
            <w:shd w:val="clear" w:color="auto" w:fill="auto"/>
            <w:vAlign w:val="center"/>
          </w:tcPr>
          <w:p>
            <w:pPr>
              <w:pStyle w:val="19"/>
              <w:rPr>
                <w:rFonts w:cs="Times New Roman"/>
              </w:rPr>
            </w:pPr>
            <w:r>
              <w:rPr>
                <w:rFonts w:cs="Times New Roman"/>
              </w:rPr>
              <w:t xml:space="preserve">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投光灯（只）</w:t>
            </w:r>
          </w:p>
        </w:tc>
        <w:tc>
          <w:tcPr>
            <w:tcW w:w="3039" w:type="dxa"/>
            <w:tcBorders>
              <w:tl2br w:val="nil"/>
              <w:tr2bl w:val="nil"/>
            </w:tcBorders>
            <w:shd w:val="clear" w:color="auto" w:fill="auto"/>
            <w:vAlign w:val="center"/>
          </w:tcPr>
          <w:p>
            <w:pPr>
              <w:pStyle w:val="19"/>
              <w:rPr>
                <w:rFonts w:cs="Times New Roman"/>
              </w:rPr>
            </w:pPr>
            <w:r>
              <w:rPr>
                <w:rFonts w:cs="Times New Roman"/>
              </w:rPr>
              <w:t xml:space="preserve">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tcBorders>
              <w:tl2br w:val="nil"/>
              <w:tr2bl w:val="nil"/>
            </w:tcBorders>
            <w:shd w:val="clear" w:color="auto" w:fill="auto"/>
            <w:vAlign w:val="center"/>
          </w:tcPr>
          <w:p>
            <w:pPr>
              <w:pStyle w:val="19"/>
              <w:rPr>
                <w:rFonts w:cs="Times New Roman"/>
              </w:rPr>
            </w:pPr>
          </w:p>
        </w:tc>
        <w:tc>
          <w:tcPr>
            <w:tcW w:w="1666" w:type="pct"/>
            <w:tcBorders>
              <w:tl2br w:val="nil"/>
              <w:tr2bl w:val="nil"/>
            </w:tcBorders>
            <w:shd w:val="clear" w:color="auto" w:fill="auto"/>
            <w:vAlign w:val="center"/>
          </w:tcPr>
          <w:p>
            <w:pPr>
              <w:pStyle w:val="19"/>
              <w:rPr>
                <w:rFonts w:cs="Times New Roman"/>
              </w:rPr>
            </w:pPr>
            <w:r>
              <w:rPr>
                <w:rFonts w:cs="Times New Roman"/>
              </w:rPr>
              <w:t>电缆（m）</w:t>
            </w:r>
          </w:p>
        </w:tc>
        <w:tc>
          <w:tcPr>
            <w:tcW w:w="3039" w:type="dxa"/>
            <w:tcBorders>
              <w:tl2br w:val="nil"/>
              <w:tr2bl w:val="nil"/>
            </w:tcBorders>
            <w:shd w:val="clear" w:color="auto" w:fill="auto"/>
            <w:vAlign w:val="center"/>
          </w:tcPr>
          <w:p>
            <w:pPr>
              <w:pStyle w:val="19"/>
              <w:rPr>
                <w:rFonts w:cs="Times New Roman"/>
              </w:rPr>
            </w:pPr>
            <w:r>
              <w:rPr>
                <w:rFonts w:cs="Times New Roman"/>
              </w:rPr>
              <w:t xml:space="preserve">135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tcBorders>
              <w:tl2br w:val="nil"/>
              <w:tr2bl w:val="nil"/>
            </w:tcBorders>
            <w:shd w:val="clear" w:color="auto" w:fill="auto"/>
            <w:vAlign w:val="center"/>
          </w:tcPr>
          <w:p>
            <w:pPr>
              <w:pStyle w:val="19"/>
              <w:jc w:val="left"/>
              <w:rPr>
                <w:rFonts w:cs="Times New Roman"/>
              </w:rPr>
            </w:pPr>
            <w:r>
              <w:rPr>
                <w:rFonts w:cs="Times New Roman"/>
              </w:rPr>
              <w:t>注：块石和砂石料的储备视水库大坝工程情况和抢险需要在总量范围内可以相互调整。</w:t>
            </w:r>
          </w:p>
        </w:tc>
      </w:tr>
    </w:tbl>
    <w:p>
      <w:pPr>
        <w:ind w:firstLine="480"/>
      </w:pPr>
      <w:r>
        <w:t>贯彻“安全第一，常备不懈，以防为主，全力抢险”的防汛工作方针，按照</w:t>
      </w:r>
      <w:r>
        <w:rPr>
          <w:rFonts w:hint="eastAsia"/>
        </w:rPr>
        <w:t>工农水库</w:t>
      </w:r>
      <w:r>
        <w:t>防汛工作的实际情况，</w:t>
      </w:r>
      <w:r>
        <w:rPr>
          <w:rFonts w:hint="eastAsia"/>
        </w:rPr>
        <w:t>目前</w:t>
      </w:r>
      <w:r>
        <w:t>配备了防汛物资，</w:t>
      </w:r>
      <w:r>
        <w:rPr>
          <w:rFonts w:hint="eastAsia"/>
        </w:rPr>
        <w:t>存放于</w:t>
      </w:r>
      <w:r>
        <w:t>工农水库防汛物资仓库</w:t>
      </w:r>
      <w:r>
        <w:rPr>
          <w:rFonts w:hint="eastAsia"/>
        </w:rPr>
        <w:t>。</w:t>
      </w:r>
    </w:p>
    <w:p>
      <w:pPr>
        <w:ind w:firstLine="480"/>
      </w:pPr>
    </w:p>
    <w:p>
      <w:pPr>
        <w:ind w:firstLine="0" w:firstLineChars="0"/>
        <w:jc w:val="center"/>
      </w:pPr>
      <w:r>
        <w:rPr>
          <w:rFonts w:hint="eastAsia"/>
          <w:b/>
          <w:bCs/>
        </w:rPr>
        <w:t>表7.3-2  工农水库实际储备防汛物资品种及数量表</w:t>
      </w:r>
    </w:p>
    <w:tbl>
      <w:tblPr>
        <w:tblStyle w:val="10"/>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87"/>
        <w:gridCol w:w="1982"/>
        <w:gridCol w:w="1981"/>
        <w:gridCol w:w="1981"/>
        <w:gridCol w:w="198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序号</w:t>
            </w:r>
          </w:p>
        </w:tc>
        <w:tc>
          <w:tcPr>
            <w:tcW w:w="1087" w:type="pct"/>
            <w:tcBorders>
              <w:tl2br w:val="nil"/>
              <w:tr2bl w:val="nil"/>
            </w:tcBorders>
            <w:shd w:val="clear" w:color="auto" w:fill="auto"/>
            <w:noWrap/>
            <w:vAlign w:val="center"/>
          </w:tcPr>
          <w:p>
            <w:pPr>
              <w:pStyle w:val="19"/>
              <w:rPr>
                <w:rFonts w:cs="Times New Roman"/>
              </w:rPr>
            </w:pPr>
            <w:r>
              <w:rPr>
                <w:rFonts w:cs="Times New Roman"/>
              </w:rPr>
              <w:t>名称</w:t>
            </w:r>
          </w:p>
        </w:tc>
        <w:tc>
          <w:tcPr>
            <w:tcW w:w="1087" w:type="pct"/>
            <w:tcBorders>
              <w:tl2br w:val="nil"/>
              <w:tr2bl w:val="nil"/>
            </w:tcBorders>
            <w:shd w:val="clear" w:color="auto" w:fill="auto"/>
            <w:noWrap/>
            <w:vAlign w:val="center"/>
          </w:tcPr>
          <w:p>
            <w:pPr>
              <w:pStyle w:val="19"/>
              <w:rPr>
                <w:rFonts w:cs="Times New Roman"/>
              </w:rPr>
            </w:pPr>
            <w:r>
              <w:rPr>
                <w:rFonts w:cs="Times New Roman"/>
              </w:rPr>
              <w:t>单位</w:t>
            </w:r>
          </w:p>
        </w:tc>
        <w:tc>
          <w:tcPr>
            <w:tcW w:w="1087" w:type="pct"/>
            <w:tcBorders>
              <w:tl2br w:val="nil"/>
              <w:tr2bl w:val="nil"/>
            </w:tcBorders>
            <w:shd w:val="clear" w:color="auto" w:fill="auto"/>
            <w:noWrap/>
            <w:vAlign w:val="center"/>
          </w:tcPr>
          <w:p>
            <w:pPr>
              <w:pStyle w:val="19"/>
              <w:rPr>
                <w:rFonts w:cs="Times New Roman"/>
              </w:rPr>
            </w:pPr>
            <w:r>
              <w:rPr>
                <w:rFonts w:cs="Times New Roman"/>
              </w:rPr>
              <w:t>数量</w:t>
            </w:r>
          </w:p>
        </w:tc>
        <w:tc>
          <w:tcPr>
            <w:tcW w:w="1087" w:type="pct"/>
            <w:tcBorders>
              <w:tl2br w:val="nil"/>
              <w:tr2bl w:val="nil"/>
            </w:tcBorders>
            <w:shd w:val="clear" w:color="auto" w:fill="auto"/>
            <w:noWrap/>
            <w:vAlign w:val="center"/>
          </w:tcPr>
          <w:p>
            <w:pPr>
              <w:pStyle w:val="19"/>
              <w:rPr>
                <w:rFonts w:cs="Times New Roman"/>
              </w:rPr>
            </w:pPr>
            <w:r>
              <w:rPr>
                <w:rFonts w:cs="Times New Roma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w:t>
            </w:r>
          </w:p>
        </w:tc>
        <w:tc>
          <w:tcPr>
            <w:tcW w:w="1087" w:type="pct"/>
            <w:tcBorders>
              <w:tl2br w:val="nil"/>
              <w:tr2bl w:val="nil"/>
            </w:tcBorders>
            <w:shd w:val="clear" w:color="auto" w:fill="auto"/>
            <w:noWrap/>
            <w:vAlign w:val="center"/>
          </w:tcPr>
          <w:p>
            <w:pPr>
              <w:pStyle w:val="19"/>
              <w:rPr>
                <w:rFonts w:cs="Times New Roman"/>
              </w:rPr>
            </w:pPr>
            <w:r>
              <w:rPr>
                <w:rFonts w:cs="Times New Roman"/>
              </w:rPr>
              <w:t>编织袋</w:t>
            </w:r>
          </w:p>
        </w:tc>
        <w:tc>
          <w:tcPr>
            <w:tcW w:w="1087" w:type="pct"/>
            <w:tcBorders>
              <w:tl2br w:val="nil"/>
              <w:tr2bl w:val="nil"/>
            </w:tcBorders>
            <w:shd w:val="clear" w:color="auto" w:fill="auto"/>
            <w:noWrap/>
            <w:vAlign w:val="center"/>
          </w:tcPr>
          <w:p>
            <w:pPr>
              <w:pStyle w:val="19"/>
              <w:rPr>
                <w:rFonts w:cs="Times New Roman"/>
              </w:rPr>
            </w:pPr>
            <w:r>
              <w:rPr>
                <w:rFonts w:cs="Times New Roman"/>
              </w:rPr>
              <w:t>条</w:t>
            </w:r>
          </w:p>
        </w:tc>
        <w:tc>
          <w:tcPr>
            <w:tcW w:w="1087" w:type="pct"/>
            <w:tcBorders>
              <w:tl2br w:val="nil"/>
              <w:tr2bl w:val="nil"/>
            </w:tcBorders>
            <w:shd w:val="clear" w:color="auto" w:fill="auto"/>
            <w:noWrap/>
            <w:vAlign w:val="center"/>
          </w:tcPr>
          <w:p>
            <w:pPr>
              <w:pStyle w:val="19"/>
              <w:rPr>
                <w:rFonts w:cs="Times New Roman"/>
              </w:rPr>
            </w:pPr>
            <w:r>
              <w:rPr>
                <w:rFonts w:cs="Times New Roman"/>
              </w:rPr>
              <w:t>2000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r>
              <w:rPr>
                <w:rFonts w:cs="Times New Roman"/>
              </w:rPr>
              <w:t>铁丝</w:t>
            </w:r>
          </w:p>
        </w:tc>
        <w:tc>
          <w:tcPr>
            <w:tcW w:w="1087" w:type="pct"/>
            <w:tcBorders>
              <w:tl2br w:val="nil"/>
              <w:tr2bl w:val="nil"/>
            </w:tcBorders>
            <w:shd w:val="clear" w:color="auto" w:fill="auto"/>
            <w:noWrap/>
            <w:vAlign w:val="center"/>
          </w:tcPr>
          <w:p>
            <w:pPr>
              <w:pStyle w:val="19"/>
              <w:rPr>
                <w:rFonts w:cs="Times New Roman"/>
              </w:rPr>
            </w:pPr>
            <w:r>
              <w:rPr>
                <w:rFonts w:cs="Times New Roman"/>
              </w:rPr>
              <w:t>圈</w:t>
            </w:r>
          </w:p>
        </w:tc>
        <w:tc>
          <w:tcPr>
            <w:tcW w:w="1087" w:type="pct"/>
            <w:tcBorders>
              <w:tl2br w:val="nil"/>
              <w:tr2bl w:val="nil"/>
            </w:tcBorders>
            <w:shd w:val="clear" w:color="auto" w:fill="auto"/>
            <w:noWrap/>
            <w:vAlign w:val="center"/>
          </w:tcPr>
          <w:p>
            <w:pPr>
              <w:pStyle w:val="19"/>
              <w:rPr>
                <w:rFonts w:cs="Times New Roman"/>
              </w:rPr>
            </w:pPr>
            <w:r>
              <w:rPr>
                <w:rFonts w:cs="Times New Roman"/>
              </w:rPr>
              <w:t>23</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w:t>
            </w:r>
          </w:p>
        </w:tc>
        <w:tc>
          <w:tcPr>
            <w:tcW w:w="1087" w:type="pct"/>
            <w:tcBorders>
              <w:tl2br w:val="nil"/>
              <w:tr2bl w:val="nil"/>
            </w:tcBorders>
            <w:shd w:val="clear" w:color="auto" w:fill="auto"/>
            <w:noWrap/>
            <w:vAlign w:val="center"/>
          </w:tcPr>
          <w:p>
            <w:pPr>
              <w:pStyle w:val="19"/>
              <w:rPr>
                <w:rFonts w:cs="Times New Roman"/>
              </w:rPr>
            </w:pPr>
            <w:r>
              <w:rPr>
                <w:rFonts w:cs="Times New Roman"/>
              </w:rPr>
              <w:t>桩木</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29</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4</w:t>
            </w:r>
          </w:p>
        </w:tc>
        <w:tc>
          <w:tcPr>
            <w:tcW w:w="1087" w:type="pct"/>
            <w:tcBorders>
              <w:tl2br w:val="nil"/>
              <w:tr2bl w:val="nil"/>
            </w:tcBorders>
            <w:shd w:val="clear" w:color="auto" w:fill="auto"/>
            <w:noWrap/>
            <w:vAlign w:val="center"/>
          </w:tcPr>
          <w:p>
            <w:pPr>
              <w:pStyle w:val="19"/>
              <w:rPr>
                <w:rFonts w:cs="Times New Roman"/>
              </w:rPr>
            </w:pPr>
            <w:r>
              <w:rPr>
                <w:rFonts w:cs="Times New Roman"/>
              </w:rPr>
              <w:t>斧头</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25</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5</w:t>
            </w:r>
          </w:p>
        </w:tc>
        <w:tc>
          <w:tcPr>
            <w:tcW w:w="1087" w:type="pct"/>
            <w:tcBorders>
              <w:tl2br w:val="nil"/>
              <w:tr2bl w:val="nil"/>
            </w:tcBorders>
            <w:shd w:val="clear" w:color="auto" w:fill="auto"/>
            <w:noWrap/>
            <w:vAlign w:val="center"/>
          </w:tcPr>
          <w:p>
            <w:pPr>
              <w:pStyle w:val="19"/>
              <w:rPr>
                <w:rFonts w:cs="Times New Roman"/>
              </w:rPr>
            </w:pPr>
            <w:r>
              <w:rPr>
                <w:rFonts w:cs="Times New Roman"/>
              </w:rPr>
              <w:t>铁锹</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64</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6</w:t>
            </w:r>
          </w:p>
        </w:tc>
        <w:tc>
          <w:tcPr>
            <w:tcW w:w="1087" w:type="pct"/>
            <w:tcBorders>
              <w:tl2br w:val="nil"/>
              <w:tr2bl w:val="nil"/>
            </w:tcBorders>
            <w:shd w:val="clear" w:color="auto" w:fill="auto"/>
            <w:noWrap/>
            <w:vAlign w:val="center"/>
          </w:tcPr>
          <w:p>
            <w:pPr>
              <w:pStyle w:val="19"/>
              <w:rPr>
                <w:rFonts w:cs="Times New Roman"/>
              </w:rPr>
            </w:pPr>
            <w:r>
              <w:rPr>
                <w:rFonts w:cs="Times New Roman"/>
              </w:rPr>
              <w:t>铁锤</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34</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7</w:t>
            </w:r>
          </w:p>
        </w:tc>
        <w:tc>
          <w:tcPr>
            <w:tcW w:w="1087" w:type="pct"/>
            <w:tcBorders>
              <w:tl2br w:val="nil"/>
              <w:tr2bl w:val="nil"/>
            </w:tcBorders>
            <w:shd w:val="clear" w:color="auto" w:fill="auto"/>
            <w:noWrap/>
            <w:vAlign w:val="center"/>
          </w:tcPr>
          <w:p>
            <w:pPr>
              <w:pStyle w:val="19"/>
              <w:rPr>
                <w:rFonts w:cs="Times New Roman"/>
              </w:rPr>
            </w:pPr>
            <w:r>
              <w:rPr>
                <w:rFonts w:cs="Times New Roman"/>
              </w:rPr>
              <w:t>锄头</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67</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8</w:t>
            </w:r>
          </w:p>
        </w:tc>
        <w:tc>
          <w:tcPr>
            <w:tcW w:w="1087" w:type="pct"/>
            <w:tcBorders>
              <w:tl2br w:val="nil"/>
              <w:tr2bl w:val="nil"/>
            </w:tcBorders>
            <w:shd w:val="clear" w:color="auto" w:fill="auto"/>
            <w:noWrap/>
            <w:vAlign w:val="center"/>
          </w:tcPr>
          <w:p>
            <w:pPr>
              <w:pStyle w:val="19"/>
              <w:rPr>
                <w:rFonts w:cs="Times New Roman"/>
              </w:rPr>
            </w:pPr>
            <w:r>
              <w:rPr>
                <w:rFonts w:cs="Times New Roman"/>
              </w:rPr>
              <w:t>雨靴</w:t>
            </w:r>
          </w:p>
        </w:tc>
        <w:tc>
          <w:tcPr>
            <w:tcW w:w="1087" w:type="pct"/>
            <w:tcBorders>
              <w:tl2br w:val="nil"/>
              <w:tr2bl w:val="nil"/>
            </w:tcBorders>
            <w:shd w:val="clear" w:color="auto" w:fill="auto"/>
            <w:noWrap/>
            <w:vAlign w:val="center"/>
          </w:tcPr>
          <w:p>
            <w:pPr>
              <w:pStyle w:val="19"/>
              <w:rPr>
                <w:rFonts w:cs="Times New Roman"/>
              </w:rPr>
            </w:pPr>
            <w:r>
              <w:rPr>
                <w:rFonts w:cs="Times New Roman"/>
              </w:rPr>
              <w:t>双</w:t>
            </w:r>
          </w:p>
        </w:tc>
        <w:tc>
          <w:tcPr>
            <w:tcW w:w="1087" w:type="pct"/>
            <w:tcBorders>
              <w:tl2br w:val="nil"/>
              <w:tr2bl w:val="nil"/>
            </w:tcBorders>
            <w:shd w:val="clear" w:color="auto" w:fill="auto"/>
            <w:noWrap/>
            <w:vAlign w:val="center"/>
          </w:tcPr>
          <w:p>
            <w:pPr>
              <w:pStyle w:val="19"/>
              <w:rPr>
                <w:rFonts w:cs="Times New Roman"/>
              </w:rPr>
            </w:pPr>
            <w:r>
              <w:rPr>
                <w:rFonts w:cs="Times New Roman"/>
              </w:rPr>
              <w:t>24</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9</w:t>
            </w:r>
          </w:p>
        </w:tc>
        <w:tc>
          <w:tcPr>
            <w:tcW w:w="1087" w:type="pct"/>
            <w:tcBorders>
              <w:tl2br w:val="nil"/>
              <w:tr2bl w:val="nil"/>
            </w:tcBorders>
            <w:shd w:val="clear" w:color="auto" w:fill="auto"/>
            <w:noWrap/>
            <w:vAlign w:val="center"/>
          </w:tcPr>
          <w:p>
            <w:pPr>
              <w:pStyle w:val="19"/>
              <w:rPr>
                <w:rFonts w:cs="Times New Roman"/>
              </w:rPr>
            </w:pPr>
            <w:r>
              <w:rPr>
                <w:rFonts w:cs="Times New Roman"/>
              </w:rPr>
              <w:t>铁钎</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13</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10</w:t>
            </w:r>
          </w:p>
        </w:tc>
        <w:tc>
          <w:tcPr>
            <w:tcW w:w="1087" w:type="pct"/>
            <w:tcBorders>
              <w:tl2br w:val="nil"/>
              <w:tr2bl w:val="nil"/>
            </w:tcBorders>
            <w:shd w:val="clear" w:color="auto" w:fill="auto"/>
            <w:noWrap/>
            <w:vAlign w:val="center"/>
          </w:tcPr>
          <w:p>
            <w:pPr>
              <w:pStyle w:val="19"/>
              <w:rPr>
                <w:rFonts w:cs="Times New Roman"/>
              </w:rPr>
            </w:pPr>
            <w:r>
              <w:rPr>
                <w:rFonts w:cs="Times New Roman"/>
              </w:rPr>
              <w:t>汽油锯</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1</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11</w:t>
            </w:r>
          </w:p>
        </w:tc>
        <w:tc>
          <w:tcPr>
            <w:tcW w:w="1087" w:type="pct"/>
            <w:tcBorders>
              <w:tl2br w:val="nil"/>
              <w:tr2bl w:val="nil"/>
            </w:tcBorders>
            <w:shd w:val="clear" w:color="auto" w:fill="auto"/>
            <w:noWrap/>
            <w:vAlign w:val="center"/>
          </w:tcPr>
          <w:p>
            <w:pPr>
              <w:pStyle w:val="19"/>
              <w:rPr>
                <w:rFonts w:cs="Times New Roman"/>
              </w:rPr>
            </w:pPr>
            <w:r>
              <w:rPr>
                <w:rFonts w:cs="Times New Roman"/>
              </w:rPr>
              <w:t>救生衣</w:t>
            </w:r>
          </w:p>
        </w:tc>
        <w:tc>
          <w:tcPr>
            <w:tcW w:w="1087" w:type="pct"/>
            <w:tcBorders>
              <w:tl2br w:val="nil"/>
              <w:tr2bl w:val="nil"/>
            </w:tcBorders>
            <w:shd w:val="clear" w:color="auto" w:fill="auto"/>
            <w:noWrap/>
            <w:vAlign w:val="center"/>
          </w:tcPr>
          <w:p>
            <w:pPr>
              <w:pStyle w:val="19"/>
              <w:rPr>
                <w:rFonts w:cs="Times New Roman"/>
              </w:rPr>
            </w:pPr>
            <w:r>
              <w:rPr>
                <w:rFonts w:cs="Times New Roman"/>
              </w:rPr>
              <w:t>件</w:t>
            </w:r>
          </w:p>
        </w:tc>
        <w:tc>
          <w:tcPr>
            <w:tcW w:w="1087" w:type="pct"/>
            <w:tcBorders>
              <w:tl2br w:val="nil"/>
              <w:tr2bl w:val="nil"/>
            </w:tcBorders>
            <w:shd w:val="clear" w:color="auto" w:fill="auto"/>
            <w:noWrap/>
            <w:vAlign w:val="center"/>
          </w:tcPr>
          <w:p>
            <w:pPr>
              <w:pStyle w:val="19"/>
              <w:rPr>
                <w:rFonts w:cs="Times New Roman"/>
              </w:rPr>
            </w:pPr>
            <w:r>
              <w:rPr>
                <w:rFonts w:cs="Times New Roman"/>
              </w:rPr>
              <w:t>180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12</w:t>
            </w:r>
          </w:p>
        </w:tc>
        <w:tc>
          <w:tcPr>
            <w:tcW w:w="1087" w:type="pct"/>
            <w:tcBorders>
              <w:tl2br w:val="nil"/>
              <w:tr2bl w:val="nil"/>
            </w:tcBorders>
            <w:shd w:val="clear" w:color="auto" w:fill="auto"/>
            <w:noWrap/>
            <w:vAlign w:val="center"/>
          </w:tcPr>
          <w:p>
            <w:pPr>
              <w:pStyle w:val="19"/>
              <w:rPr>
                <w:rFonts w:cs="Times New Roman"/>
              </w:rPr>
            </w:pPr>
            <w:r>
              <w:rPr>
                <w:rFonts w:cs="Times New Roman"/>
              </w:rPr>
              <w:t>电缆</w:t>
            </w:r>
          </w:p>
        </w:tc>
        <w:tc>
          <w:tcPr>
            <w:tcW w:w="1087" w:type="pct"/>
            <w:tcBorders>
              <w:tl2br w:val="nil"/>
              <w:tr2bl w:val="nil"/>
            </w:tcBorders>
            <w:shd w:val="clear" w:color="auto" w:fill="auto"/>
            <w:noWrap/>
            <w:vAlign w:val="center"/>
          </w:tcPr>
          <w:p>
            <w:pPr>
              <w:pStyle w:val="19"/>
              <w:rPr>
                <w:rFonts w:cs="Times New Roman"/>
              </w:rPr>
            </w:pPr>
            <w:r>
              <w:rPr>
                <w:rFonts w:cs="Times New Roman"/>
              </w:rPr>
              <w:t>圈</w:t>
            </w:r>
          </w:p>
        </w:tc>
        <w:tc>
          <w:tcPr>
            <w:tcW w:w="1087" w:type="pct"/>
            <w:tcBorders>
              <w:tl2br w:val="nil"/>
              <w:tr2bl w:val="nil"/>
            </w:tcBorders>
            <w:shd w:val="clear" w:color="auto" w:fill="auto"/>
            <w:noWrap/>
            <w:vAlign w:val="center"/>
          </w:tcPr>
          <w:p>
            <w:pPr>
              <w:pStyle w:val="19"/>
              <w:rPr>
                <w:rFonts w:cs="Times New Roman"/>
              </w:rPr>
            </w:pPr>
            <w:r>
              <w:rPr>
                <w:rFonts w:cs="Times New Roman"/>
              </w:rPr>
              <w:t>4</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13</w:t>
            </w:r>
          </w:p>
        </w:tc>
        <w:tc>
          <w:tcPr>
            <w:tcW w:w="1087" w:type="pct"/>
            <w:tcBorders>
              <w:tl2br w:val="nil"/>
              <w:tr2bl w:val="nil"/>
            </w:tcBorders>
            <w:shd w:val="clear" w:color="auto" w:fill="auto"/>
            <w:noWrap/>
            <w:vAlign w:val="center"/>
          </w:tcPr>
          <w:p>
            <w:pPr>
              <w:pStyle w:val="19"/>
              <w:rPr>
                <w:rFonts w:cs="Times New Roman"/>
              </w:rPr>
            </w:pPr>
            <w:r>
              <w:rPr>
                <w:rFonts w:cs="Times New Roman"/>
              </w:rPr>
              <w:t>抬杠</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351</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14</w:t>
            </w:r>
          </w:p>
        </w:tc>
        <w:tc>
          <w:tcPr>
            <w:tcW w:w="1087" w:type="pct"/>
            <w:tcBorders>
              <w:tl2br w:val="nil"/>
              <w:tr2bl w:val="nil"/>
            </w:tcBorders>
            <w:shd w:val="clear" w:color="auto" w:fill="auto"/>
            <w:noWrap/>
            <w:vAlign w:val="center"/>
          </w:tcPr>
          <w:p>
            <w:pPr>
              <w:pStyle w:val="19"/>
              <w:rPr>
                <w:rFonts w:cs="Times New Roman"/>
              </w:rPr>
            </w:pPr>
            <w:r>
              <w:rPr>
                <w:rFonts w:cs="Times New Roman"/>
              </w:rPr>
              <w:t>橡皮艇</w:t>
            </w:r>
          </w:p>
        </w:tc>
        <w:tc>
          <w:tcPr>
            <w:tcW w:w="1087" w:type="pct"/>
            <w:tcBorders>
              <w:tl2br w:val="nil"/>
              <w:tr2bl w:val="nil"/>
            </w:tcBorders>
            <w:shd w:val="clear" w:color="auto" w:fill="auto"/>
            <w:noWrap/>
            <w:vAlign w:val="center"/>
          </w:tcPr>
          <w:p>
            <w:pPr>
              <w:pStyle w:val="19"/>
              <w:rPr>
                <w:rFonts w:cs="Times New Roman"/>
              </w:rPr>
            </w:pPr>
            <w:r>
              <w:rPr>
                <w:rFonts w:cs="Times New Roman"/>
              </w:rPr>
              <w:t>艘</w:t>
            </w:r>
          </w:p>
        </w:tc>
        <w:tc>
          <w:tcPr>
            <w:tcW w:w="1087" w:type="pct"/>
            <w:tcBorders>
              <w:tl2br w:val="nil"/>
              <w:tr2bl w:val="nil"/>
            </w:tcBorders>
            <w:shd w:val="clear" w:color="auto" w:fill="auto"/>
            <w:noWrap/>
            <w:vAlign w:val="center"/>
          </w:tcPr>
          <w:p>
            <w:pPr>
              <w:pStyle w:val="19"/>
              <w:rPr>
                <w:rFonts w:cs="Times New Roman"/>
              </w:rPr>
            </w:pPr>
            <w:r>
              <w:rPr>
                <w:rFonts w:cs="Times New Roman"/>
              </w:rPr>
              <w:t>3</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15</w:t>
            </w:r>
          </w:p>
        </w:tc>
        <w:tc>
          <w:tcPr>
            <w:tcW w:w="1087" w:type="pct"/>
            <w:tcBorders>
              <w:tl2br w:val="nil"/>
              <w:tr2bl w:val="nil"/>
            </w:tcBorders>
            <w:shd w:val="clear" w:color="auto" w:fill="auto"/>
            <w:noWrap/>
            <w:vAlign w:val="center"/>
          </w:tcPr>
          <w:p>
            <w:pPr>
              <w:pStyle w:val="19"/>
              <w:rPr>
                <w:rFonts w:cs="Times New Roman"/>
              </w:rPr>
            </w:pPr>
            <w:r>
              <w:rPr>
                <w:rFonts w:cs="Times New Roman"/>
              </w:rPr>
              <w:t>冲锋舟</w:t>
            </w:r>
          </w:p>
        </w:tc>
        <w:tc>
          <w:tcPr>
            <w:tcW w:w="1087" w:type="pct"/>
            <w:tcBorders>
              <w:tl2br w:val="nil"/>
              <w:tr2bl w:val="nil"/>
            </w:tcBorders>
            <w:shd w:val="clear" w:color="auto" w:fill="auto"/>
            <w:noWrap/>
            <w:vAlign w:val="center"/>
          </w:tcPr>
          <w:p>
            <w:pPr>
              <w:pStyle w:val="19"/>
              <w:rPr>
                <w:rFonts w:cs="Times New Roman"/>
              </w:rPr>
            </w:pPr>
            <w:r>
              <w:rPr>
                <w:rFonts w:cs="Times New Roman"/>
              </w:rPr>
              <w:t>艘</w:t>
            </w:r>
          </w:p>
        </w:tc>
        <w:tc>
          <w:tcPr>
            <w:tcW w:w="1087"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16</w:t>
            </w:r>
          </w:p>
        </w:tc>
        <w:tc>
          <w:tcPr>
            <w:tcW w:w="1087" w:type="pct"/>
            <w:tcBorders>
              <w:tl2br w:val="nil"/>
              <w:tr2bl w:val="nil"/>
            </w:tcBorders>
            <w:shd w:val="clear" w:color="auto" w:fill="auto"/>
            <w:noWrap/>
            <w:vAlign w:val="center"/>
          </w:tcPr>
          <w:p>
            <w:pPr>
              <w:pStyle w:val="19"/>
              <w:rPr>
                <w:rFonts w:cs="Times New Roman"/>
              </w:rPr>
            </w:pPr>
            <w:r>
              <w:rPr>
                <w:rFonts w:cs="Times New Roman"/>
              </w:rPr>
              <w:t>泛光灯</w:t>
            </w:r>
          </w:p>
        </w:tc>
        <w:tc>
          <w:tcPr>
            <w:tcW w:w="1087" w:type="pct"/>
            <w:tcBorders>
              <w:tl2br w:val="nil"/>
              <w:tr2bl w:val="nil"/>
            </w:tcBorders>
            <w:shd w:val="clear" w:color="auto" w:fill="auto"/>
            <w:noWrap/>
            <w:vAlign w:val="center"/>
          </w:tcPr>
          <w:p>
            <w:pPr>
              <w:pStyle w:val="19"/>
              <w:rPr>
                <w:rFonts w:cs="Times New Roman"/>
              </w:rPr>
            </w:pPr>
            <w:r>
              <w:rPr>
                <w:rFonts w:cs="Times New Roman"/>
              </w:rPr>
              <w:t>套</w:t>
            </w:r>
          </w:p>
        </w:tc>
        <w:tc>
          <w:tcPr>
            <w:tcW w:w="1087" w:type="pct"/>
            <w:tcBorders>
              <w:tl2br w:val="nil"/>
              <w:tr2bl w:val="nil"/>
            </w:tcBorders>
            <w:shd w:val="clear" w:color="auto" w:fill="auto"/>
            <w:noWrap/>
            <w:vAlign w:val="center"/>
          </w:tcPr>
          <w:p>
            <w:pPr>
              <w:pStyle w:val="19"/>
              <w:rPr>
                <w:rFonts w:cs="Times New Roman"/>
              </w:rPr>
            </w:pPr>
            <w:r>
              <w:rPr>
                <w:rFonts w:cs="Times New Roman"/>
              </w:rPr>
              <w:t>1</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17</w:t>
            </w:r>
          </w:p>
        </w:tc>
        <w:tc>
          <w:tcPr>
            <w:tcW w:w="1087" w:type="pct"/>
            <w:tcBorders>
              <w:tl2br w:val="nil"/>
              <w:tr2bl w:val="nil"/>
            </w:tcBorders>
            <w:shd w:val="clear" w:color="auto" w:fill="auto"/>
            <w:noWrap/>
            <w:vAlign w:val="center"/>
          </w:tcPr>
          <w:p>
            <w:pPr>
              <w:pStyle w:val="19"/>
              <w:rPr>
                <w:rFonts w:cs="Times New Roman"/>
              </w:rPr>
            </w:pPr>
            <w:r>
              <w:rPr>
                <w:rFonts w:cs="Times New Roman"/>
              </w:rPr>
              <w:t>汽油桶</w:t>
            </w:r>
          </w:p>
        </w:tc>
        <w:tc>
          <w:tcPr>
            <w:tcW w:w="1087" w:type="pct"/>
            <w:tcBorders>
              <w:tl2br w:val="nil"/>
              <w:tr2bl w:val="nil"/>
            </w:tcBorders>
            <w:shd w:val="clear" w:color="auto" w:fill="auto"/>
            <w:noWrap/>
            <w:vAlign w:val="center"/>
          </w:tcPr>
          <w:p>
            <w:pPr>
              <w:pStyle w:val="19"/>
              <w:rPr>
                <w:rFonts w:cs="Times New Roman"/>
              </w:rPr>
            </w:pPr>
            <w:r>
              <w:rPr>
                <w:rFonts w:cs="Times New Roman"/>
              </w:rPr>
              <w:t>个</w:t>
            </w:r>
          </w:p>
        </w:tc>
        <w:tc>
          <w:tcPr>
            <w:tcW w:w="1087"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18</w:t>
            </w:r>
          </w:p>
        </w:tc>
        <w:tc>
          <w:tcPr>
            <w:tcW w:w="1087" w:type="pct"/>
            <w:tcBorders>
              <w:tl2br w:val="nil"/>
              <w:tr2bl w:val="nil"/>
            </w:tcBorders>
            <w:shd w:val="clear" w:color="auto" w:fill="auto"/>
            <w:noWrap/>
            <w:vAlign w:val="center"/>
          </w:tcPr>
          <w:p>
            <w:pPr>
              <w:pStyle w:val="19"/>
              <w:rPr>
                <w:rFonts w:cs="Times New Roman"/>
              </w:rPr>
            </w:pPr>
            <w:r>
              <w:rPr>
                <w:rFonts w:cs="Times New Roman"/>
              </w:rPr>
              <w:t>土工布</w:t>
            </w:r>
          </w:p>
        </w:tc>
        <w:tc>
          <w:tcPr>
            <w:tcW w:w="1087" w:type="pct"/>
            <w:tcBorders>
              <w:tl2br w:val="nil"/>
              <w:tr2bl w:val="nil"/>
            </w:tcBorders>
            <w:shd w:val="clear" w:color="auto" w:fill="auto"/>
            <w:noWrap/>
            <w:vAlign w:val="center"/>
          </w:tcPr>
          <w:p>
            <w:pPr>
              <w:pStyle w:val="19"/>
              <w:rPr>
                <w:rFonts w:cs="Times New Roman"/>
              </w:rPr>
            </w:pPr>
            <w:r>
              <w:rPr>
                <w:rFonts w:cs="Times New Roman"/>
              </w:rPr>
              <w:t>平方米</w:t>
            </w:r>
          </w:p>
        </w:tc>
        <w:tc>
          <w:tcPr>
            <w:tcW w:w="1087" w:type="pct"/>
            <w:tcBorders>
              <w:tl2br w:val="nil"/>
              <w:tr2bl w:val="nil"/>
            </w:tcBorders>
            <w:shd w:val="clear" w:color="auto" w:fill="auto"/>
            <w:noWrap/>
            <w:vAlign w:val="center"/>
          </w:tcPr>
          <w:p>
            <w:pPr>
              <w:pStyle w:val="19"/>
              <w:rPr>
                <w:rFonts w:cs="Times New Roman"/>
              </w:rPr>
            </w:pPr>
            <w:r>
              <w:rPr>
                <w:rFonts w:cs="Times New Roman"/>
              </w:rPr>
              <w:t>1990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20</w:t>
            </w:r>
          </w:p>
        </w:tc>
        <w:tc>
          <w:tcPr>
            <w:tcW w:w="1087" w:type="pct"/>
            <w:tcBorders>
              <w:tl2br w:val="nil"/>
              <w:tr2bl w:val="nil"/>
            </w:tcBorders>
            <w:shd w:val="clear" w:color="auto" w:fill="auto"/>
            <w:noWrap/>
            <w:vAlign w:val="center"/>
          </w:tcPr>
          <w:p>
            <w:pPr>
              <w:pStyle w:val="19"/>
              <w:rPr>
                <w:rFonts w:cs="Times New Roman"/>
              </w:rPr>
            </w:pPr>
            <w:r>
              <w:rPr>
                <w:rFonts w:cs="Times New Roman"/>
              </w:rPr>
              <w:t>40匹马力发动机</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21</w:t>
            </w:r>
          </w:p>
        </w:tc>
        <w:tc>
          <w:tcPr>
            <w:tcW w:w="1087" w:type="pct"/>
            <w:tcBorders>
              <w:tl2br w:val="nil"/>
              <w:tr2bl w:val="nil"/>
            </w:tcBorders>
            <w:shd w:val="clear" w:color="auto" w:fill="auto"/>
            <w:noWrap/>
            <w:vAlign w:val="center"/>
          </w:tcPr>
          <w:p>
            <w:pPr>
              <w:pStyle w:val="19"/>
              <w:rPr>
                <w:rFonts w:cs="Times New Roman"/>
              </w:rPr>
            </w:pPr>
            <w:r>
              <w:rPr>
                <w:rFonts w:cs="Times New Roman"/>
              </w:rPr>
              <w:t>防滑手套</w:t>
            </w:r>
          </w:p>
        </w:tc>
        <w:tc>
          <w:tcPr>
            <w:tcW w:w="1087" w:type="pct"/>
            <w:tcBorders>
              <w:tl2br w:val="nil"/>
              <w:tr2bl w:val="nil"/>
            </w:tcBorders>
            <w:shd w:val="clear" w:color="auto" w:fill="auto"/>
            <w:noWrap/>
            <w:vAlign w:val="center"/>
          </w:tcPr>
          <w:p>
            <w:pPr>
              <w:pStyle w:val="19"/>
              <w:rPr>
                <w:rFonts w:cs="Times New Roman"/>
              </w:rPr>
            </w:pPr>
            <w:r>
              <w:rPr>
                <w:rFonts w:cs="Times New Roman"/>
              </w:rPr>
              <w:t>双</w:t>
            </w:r>
          </w:p>
        </w:tc>
        <w:tc>
          <w:tcPr>
            <w:tcW w:w="1087"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22</w:t>
            </w:r>
          </w:p>
        </w:tc>
        <w:tc>
          <w:tcPr>
            <w:tcW w:w="1087" w:type="pct"/>
            <w:tcBorders>
              <w:tl2br w:val="nil"/>
              <w:tr2bl w:val="nil"/>
            </w:tcBorders>
            <w:shd w:val="clear" w:color="auto" w:fill="auto"/>
            <w:noWrap/>
            <w:vAlign w:val="center"/>
          </w:tcPr>
          <w:p>
            <w:pPr>
              <w:pStyle w:val="19"/>
              <w:rPr>
                <w:rFonts w:cs="Times New Roman"/>
              </w:rPr>
            </w:pPr>
            <w:r>
              <w:rPr>
                <w:rFonts w:cs="Times New Roman"/>
              </w:rPr>
              <w:t>小水桶</w:t>
            </w:r>
          </w:p>
        </w:tc>
        <w:tc>
          <w:tcPr>
            <w:tcW w:w="1087" w:type="pct"/>
            <w:tcBorders>
              <w:tl2br w:val="nil"/>
              <w:tr2bl w:val="nil"/>
            </w:tcBorders>
            <w:shd w:val="clear" w:color="auto" w:fill="auto"/>
            <w:noWrap/>
            <w:vAlign w:val="center"/>
          </w:tcPr>
          <w:p>
            <w:pPr>
              <w:pStyle w:val="19"/>
              <w:rPr>
                <w:rFonts w:cs="Times New Roman"/>
              </w:rPr>
            </w:pPr>
            <w:r>
              <w:rPr>
                <w:rFonts w:cs="Times New Roman"/>
              </w:rPr>
              <w:t>个</w:t>
            </w:r>
          </w:p>
        </w:tc>
        <w:tc>
          <w:tcPr>
            <w:tcW w:w="1087" w:type="pct"/>
            <w:tcBorders>
              <w:tl2br w:val="nil"/>
              <w:tr2bl w:val="nil"/>
            </w:tcBorders>
            <w:shd w:val="clear" w:color="auto" w:fill="auto"/>
            <w:noWrap/>
            <w:vAlign w:val="center"/>
          </w:tcPr>
          <w:p>
            <w:pPr>
              <w:pStyle w:val="19"/>
              <w:rPr>
                <w:rFonts w:cs="Times New Roman"/>
              </w:rPr>
            </w:pPr>
            <w:r>
              <w:rPr>
                <w:rFonts w:cs="Times New Roman"/>
              </w:rPr>
              <w:t>5</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23</w:t>
            </w:r>
          </w:p>
        </w:tc>
        <w:tc>
          <w:tcPr>
            <w:tcW w:w="1087" w:type="pct"/>
            <w:tcBorders>
              <w:tl2br w:val="nil"/>
              <w:tr2bl w:val="nil"/>
            </w:tcBorders>
            <w:shd w:val="clear" w:color="auto" w:fill="auto"/>
            <w:noWrap/>
            <w:vAlign w:val="center"/>
          </w:tcPr>
          <w:p>
            <w:pPr>
              <w:pStyle w:val="19"/>
              <w:rPr>
                <w:rFonts w:cs="Times New Roman"/>
              </w:rPr>
            </w:pPr>
            <w:r>
              <w:rPr>
                <w:rFonts w:cs="Times New Roman"/>
              </w:rPr>
              <w:t>胶水管</w:t>
            </w:r>
          </w:p>
        </w:tc>
        <w:tc>
          <w:tcPr>
            <w:tcW w:w="1087" w:type="pct"/>
            <w:tcBorders>
              <w:tl2br w:val="nil"/>
              <w:tr2bl w:val="nil"/>
            </w:tcBorders>
            <w:shd w:val="clear" w:color="auto" w:fill="auto"/>
            <w:noWrap/>
            <w:vAlign w:val="center"/>
          </w:tcPr>
          <w:p>
            <w:pPr>
              <w:pStyle w:val="19"/>
              <w:rPr>
                <w:rFonts w:cs="Times New Roman"/>
              </w:rPr>
            </w:pPr>
            <w:r>
              <w:rPr>
                <w:rFonts w:cs="Times New Roman"/>
              </w:rPr>
              <w:t>米</w:t>
            </w:r>
          </w:p>
        </w:tc>
        <w:tc>
          <w:tcPr>
            <w:tcW w:w="1087" w:type="pct"/>
            <w:tcBorders>
              <w:tl2br w:val="nil"/>
              <w:tr2bl w:val="nil"/>
            </w:tcBorders>
            <w:shd w:val="clear" w:color="auto" w:fill="auto"/>
            <w:noWrap/>
            <w:vAlign w:val="center"/>
          </w:tcPr>
          <w:p>
            <w:pPr>
              <w:pStyle w:val="19"/>
              <w:rPr>
                <w:rFonts w:cs="Times New Roman"/>
              </w:rPr>
            </w:pPr>
            <w:r>
              <w:rPr>
                <w:rFonts w:cs="Times New Roman"/>
              </w:rPr>
              <w:t>100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24</w:t>
            </w:r>
          </w:p>
        </w:tc>
        <w:tc>
          <w:tcPr>
            <w:tcW w:w="1087" w:type="pct"/>
            <w:tcBorders>
              <w:tl2br w:val="nil"/>
              <w:tr2bl w:val="nil"/>
            </w:tcBorders>
            <w:shd w:val="clear" w:color="auto" w:fill="auto"/>
            <w:noWrap/>
            <w:vAlign w:val="center"/>
          </w:tcPr>
          <w:p>
            <w:pPr>
              <w:pStyle w:val="19"/>
              <w:rPr>
                <w:rFonts w:cs="Times New Roman"/>
              </w:rPr>
            </w:pPr>
            <w:r>
              <w:rPr>
                <w:rFonts w:cs="Times New Roman"/>
              </w:rPr>
              <w:t>布水管</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10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25</w:t>
            </w:r>
          </w:p>
        </w:tc>
        <w:tc>
          <w:tcPr>
            <w:tcW w:w="1087" w:type="pct"/>
            <w:tcBorders>
              <w:tl2br w:val="nil"/>
              <w:tr2bl w:val="nil"/>
            </w:tcBorders>
            <w:shd w:val="clear" w:color="auto" w:fill="auto"/>
            <w:noWrap/>
            <w:vAlign w:val="center"/>
          </w:tcPr>
          <w:p>
            <w:pPr>
              <w:pStyle w:val="19"/>
              <w:rPr>
                <w:rFonts w:cs="Times New Roman"/>
              </w:rPr>
            </w:pPr>
            <w:r>
              <w:rPr>
                <w:rFonts w:cs="Times New Roman"/>
              </w:rPr>
              <w:t>单项潜水泵</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3</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26</w:t>
            </w:r>
          </w:p>
        </w:tc>
        <w:tc>
          <w:tcPr>
            <w:tcW w:w="1087" w:type="pct"/>
            <w:tcBorders>
              <w:tl2br w:val="nil"/>
              <w:tr2bl w:val="nil"/>
            </w:tcBorders>
            <w:shd w:val="clear" w:color="auto" w:fill="auto"/>
            <w:noWrap/>
            <w:vAlign w:val="center"/>
          </w:tcPr>
          <w:p>
            <w:pPr>
              <w:pStyle w:val="19"/>
              <w:rPr>
                <w:rFonts w:cs="Times New Roman"/>
              </w:rPr>
            </w:pPr>
            <w:r>
              <w:rPr>
                <w:rFonts w:cs="Times New Roman"/>
              </w:rPr>
              <w:t>污水潜水泵</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27</w:t>
            </w:r>
          </w:p>
        </w:tc>
        <w:tc>
          <w:tcPr>
            <w:tcW w:w="1087" w:type="pct"/>
            <w:tcBorders>
              <w:tl2br w:val="nil"/>
              <w:tr2bl w:val="nil"/>
            </w:tcBorders>
            <w:shd w:val="clear" w:color="auto" w:fill="auto"/>
            <w:noWrap/>
            <w:vAlign w:val="center"/>
          </w:tcPr>
          <w:p>
            <w:pPr>
              <w:pStyle w:val="19"/>
              <w:rPr>
                <w:rFonts w:cs="Times New Roman"/>
              </w:rPr>
            </w:pPr>
            <w:r>
              <w:rPr>
                <w:rFonts w:cs="Times New Roman"/>
              </w:rPr>
              <w:t>柴油水泵机组</w:t>
            </w:r>
          </w:p>
        </w:tc>
        <w:tc>
          <w:tcPr>
            <w:tcW w:w="1087" w:type="pct"/>
            <w:tcBorders>
              <w:tl2br w:val="nil"/>
              <w:tr2bl w:val="nil"/>
            </w:tcBorders>
            <w:shd w:val="clear" w:color="auto" w:fill="auto"/>
            <w:noWrap/>
            <w:vAlign w:val="center"/>
          </w:tcPr>
          <w:p>
            <w:pPr>
              <w:pStyle w:val="19"/>
              <w:rPr>
                <w:rFonts w:cs="Times New Roman"/>
              </w:rPr>
            </w:pPr>
            <w:r>
              <w:rPr>
                <w:rFonts w:cs="Times New Roman"/>
              </w:rPr>
              <w:t>套</w:t>
            </w:r>
          </w:p>
        </w:tc>
        <w:tc>
          <w:tcPr>
            <w:tcW w:w="1087" w:type="pct"/>
            <w:tcBorders>
              <w:tl2br w:val="nil"/>
              <w:tr2bl w:val="nil"/>
            </w:tcBorders>
            <w:shd w:val="clear" w:color="auto" w:fill="auto"/>
            <w:noWrap/>
            <w:vAlign w:val="center"/>
          </w:tcPr>
          <w:p>
            <w:pPr>
              <w:pStyle w:val="19"/>
              <w:rPr>
                <w:rFonts w:cs="Times New Roman"/>
              </w:rPr>
            </w:pPr>
            <w:r>
              <w:rPr>
                <w:rFonts w:cs="Times New Roman"/>
              </w:rPr>
              <w:t>4</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28</w:t>
            </w:r>
          </w:p>
        </w:tc>
        <w:tc>
          <w:tcPr>
            <w:tcW w:w="1087" w:type="pct"/>
            <w:tcBorders>
              <w:tl2br w:val="nil"/>
              <w:tr2bl w:val="nil"/>
            </w:tcBorders>
            <w:shd w:val="clear" w:color="auto" w:fill="auto"/>
            <w:noWrap/>
            <w:vAlign w:val="center"/>
          </w:tcPr>
          <w:p>
            <w:pPr>
              <w:pStyle w:val="19"/>
              <w:rPr>
                <w:rFonts w:cs="Times New Roman"/>
              </w:rPr>
            </w:pPr>
            <w:r>
              <w:rPr>
                <w:rFonts w:cs="Times New Roman"/>
              </w:rPr>
              <w:t>尼龙绳</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8</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29</w:t>
            </w:r>
          </w:p>
        </w:tc>
        <w:tc>
          <w:tcPr>
            <w:tcW w:w="1087" w:type="pct"/>
            <w:tcBorders>
              <w:tl2br w:val="nil"/>
              <w:tr2bl w:val="nil"/>
            </w:tcBorders>
            <w:shd w:val="clear" w:color="auto" w:fill="auto"/>
            <w:noWrap/>
            <w:vAlign w:val="center"/>
          </w:tcPr>
          <w:p>
            <w:pPr>
              <w:pStyle w:val="19"/>
              <w:rPr>
                <w:rFonts w:cs="Times New Roman"/>
              </w:rPr>
            </w:pPr>
            <w:r>
              <w:rPr>
                <w:rFonts w:cs="Times New Roman"/>
              </w:rPr>
              <w:t>锯子</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27</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30</w:t>
            </w:r>
          </w:p>
        </w:tc>
        <w:tc>
          <w:tcPr>
            <w:tcW w:w="1087" w:type="pct"/>
            <w:tcBorders>
              <w:tl2br w:val="nil"/>
              <w:tr2bl w:val="nil"/>
            </w:tcBorders>
            <w:shd w:val="clear" w:color="auto" w:fill="auto"/>
            <w:noWrap/>
            <w:vAlign w:val="center"/>
          </w:tcPr>
          <w:p>
            <w:pPr>
              <w:pStyle w:val="19"/>
              <w:rPr>
                <w:rFonts w:cs="Times New Roman"/>
              </w:rPr>
            </w:pPr>
            <w:r>
              <w:rPr>
                <w:rFonts w:cs="Times New Roman"/>
              </w:rPr>
              <w:t>15匹马力发动机</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3</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31</w:t>
            </w:r>
          </w:p>
        </w:tc>
        <w:tc>
          <w:tcPr>
            <w:tcW w:w="1087" w:type="pct"/>
            <w:tcBorders>
              <w:tl2br w:val="nil"/>
              <w:tr2bl w:val="nil"/>
            </w:tcBorders>
            <w:shd w:val="clear" w:color="auto" w:fill="auto"/>
            <w:noWrap/>
            <w:vAlign w:val="center"/>
          </w:tcPr>
          <w:p>
            <w:pPr>
              <w:pStyle w:val="19"/>
              <w:rPr>
                <w:rFonts w:cs="Times New Roman"/>
              </w:rPr>
            </w:pPr>
            <w:r>
              <w:rPr>
                <w:rFonts w:cs="Times New Roman"/>
              </w:rPr>
              <w:t>拖车架</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1</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32</w:t>
            </w:r>
          </w:p>
        </w:tc>
        <w:tc>
          <w:tcPr>
            <w:tcW w:w="1087" w:type="pct"/>
            <w:tcBorders>
              <w:tl2br w:val="nil"/>
              <w:tr2bl w:val="nil"/>
            </w:tcBorders>
            <w:shd w:val="clear" w:color="auto" w:fill="auto"/>
            <w:noWrap/>
            <w:vAlign w:val="center"/>
          </w:tcPr>
          <w:p>
            <w:pPr>
              <w:pStyle w:val="19"/>
              <w:rPr>
                <w:rFonts w:cs="Times New Roman"/>
              </w:rPr>
            </w:pPr>
            <w:r>
              <w:rPr>
                <w:rFonts w:cs="Times New Roman"/>
              </w:rPr>
              <w:t>30匹马力发动机</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1</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33</w:t>
            </w:r>
          </w:p>
        </w:tc>
        <w:tc>
          <w:tcPr>
            <w:tcW w:w="1087" w:type="pct"/>
            <w:tcBorders>
              <w:tl2br w:val="nil"/>
              <w:tr2bl w:val="nil"/>
            </w:tcBorders>
            <w:shd w:val="clear" w:color="auto" w:fill="auto"/>
            <w:noWrap/>
            <w:vAlign w:val="center"/>
          </w:tcPr>
          <w:p>
            <w:pPr>
              <w:pStyle w:val="19"/>
              <w:rPr>
                <w:rFonts w:cs="Times New Roman"/>
              </w:rPr>
            </w:pPr>
            <w:r>
              <w:rPr>
                <w:rFonts w:cs="Times New Roman"/>
              </w:rPr>
              <w:t>安全绳</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7</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34</w:t>
            </w:r>
          </w:p>
        </w:tc>
        <w:tc>
          <w:tcPr>
            <w:tcW w:w="1087" w:type="pct"/>
            <w:tcBorders>
              <w:tl2br w:val="nil"/>
              <w:tr2bl w:val="nil"/>
            </w:tcBorders>
            <w:shd w:val="clear" w:color="auto" w:fill="auto"/>
            <w:noWrap/>
            <w:vAlign w:val="center"/>
          </w:tcPr>
          <w:p>
            <w:pPr>
              <w:pStyle w:val="19"/>
              <w:rPr>
                <w:rFonts w:cs="Times New Roman"/>
              </w:rPr>
            </w:pPr>
            <w:r>
              <w:rPr>
                <w:rFonts w:cs="Times New Roman"/>
              </w:rPr>
              <w:t>抬绳</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50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35</w:t>
            </w:r>
          </w:p>
        </w:tc>
        <w:tc>
          <w:tcPr>
            <w:tcW w:w="1087" w:type="pct"/>
            <w:tcBorders>
              <w:tl2br w:val="nil"/>
              <w:tr2bl w:val="nil"/>
            </w:tcBorders>
            <w:shd w:val="clear" w:color="auto" w:fill="auto"/>
            <w:noWrap/>
            <w:vAlign w:val="center"/>
          </w:tcPr>
          <w:p>
            <w:pPr>
              <w:pStyle w:val="19"/>
              <w:rPr>
                <w:rFonts w:cs="Times New Roman"/>
              </w:rPr>
            </w:pPr>
            <w:r>
              <w:rPr>
                <w:rFonts w:cs="Times New Roman"/>
              </w:rPr>
              <w:t>手套</w:t>
            </w:r>
          </w:p>
        </w:tc>
        <w:tc>
          <w:tcPr>
            <w:tcW w:w="1087" w:type="pct"/>
            <w:tcBorders>
              <w:tl2br w:val="nil"/>
              <w:tr2bl w:val="nil"/>
            </w:tcBorders>
            <w:shd w:val="clear" w:color="auto" w:fill="auto"/>
            <w:noWrap/>
            <w:vAlign w:val="center"/>
          </w:tcPr>
          <w:p>
            <w:pPr>
              <w:pStyle w:val="19"/>
              <w:rPr>
                <w:rFonts w:cs="Times New Roman"/>
              </w:rPr>
            </w:pPr>
            <w:r>
              <w:rPr>
                <w:rFonts w:cs="Times New Roman"/>
              </w:rPr>
              <w:t>双</w:t>
            </w:r>
          </w:p>
        </w:tc>
        <w:tc>
          <w:tcPr>
            <w:tcW w:w="1087" w:type="pct"/>
            <w:tcBorders>
              <w:tl2br w:val="nil"/>
              <w:tr2bl w:val="nil"/>
            </w:tcBorders>
            <w:shd w:val="clear" w:color="auto" w:fill="auto"/>
            <w:noWrap/>
            <w:vAlign w:val="center"/>
          </w:tcPr>
          <w:p>
            <w:pPr>
              <w:pStyle w:val="19"/>
              <w:rPr>
                <w:rFonts w:cs="Times New Roman"/>
              </w:rPr>
            </w:pPr>
            <w:r>
              <w:rPr>
                <w:rFonts w:cs="Times New Roman"/>
              </w:rPr>
              <w:t>40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36</w:t>
            </w:r>
          </w:p>
        </w:tc>
        <w:tc>
          <w:tcPr>
            <w:tcW w:w="1087" w:type="pct"/>
            <w:tcBorders>
              <w:tl2br w:val="nil"/>
              <w:tr2bl w:val="nil"/>
            </w:tcBorders>
            <w:shd w:val="clear" w:color="auto" w:fill="auto"/>
            <w:noWrap/>
            <w:vAlign w:val="center"/>
          </w:tcPr>
          <w:p>
            <w:pPr>
              <w:pStyle w:val="19"/>
              <w:rPr>
                <w:rFonts w:cs="Times New Roman"/>
              </w:rPr>
            </w:pPr>
            <w:r>
              <w:rPr>
                <w:rFonts w:cs="Times New Roman"/>
              </w:rPr>
              <w:t>镰刀</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29</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37</w:t>
            </w:r>
          </w:p>
        </w:tc>
        <w:tc>
          <w:tcPr>
            <w:tcW w:w="1087" w:type="pct"/>
            <w:tcBorders>
              <w:tl2br w:val="nil"/>
              <w:tr2bl w:val="nil"/>
            </w:tcBorders>
            <w:shd w:val="clear" w:color="auto" w:fill="auto"/>
            <w:noWrap/>
            <w:vAlign w:val="center"/>
          </w:tcPr>
          <w:p>
            <w:pPr>
              <w:pStyle w:val="19"/>
              <w:rPr>
                <w:rFonts w:cs="Times New Roman"/>
              </w:rPr>
            </w:pPr>
            <w:r>
              <w:rPr>
                <w:rFonts w:cs="Times New Roman"/>
              </w:rPr>
              <w:t>雨衣</w:t>
            </w:r>
          </w:p>
        </w:tc>
        <w:tc>
          <w:tcPr>
            <w:tcW w:w="1087" w:type="pct"/>
            <w:tcBorders>
              <w:tl2br w:val="nil"/>
              <w:tr2bl w:val="nil"/>
            </w:tcBorders>
            <w:shd w:val="clear" w:color="auto" w:fill="auto"/>
            <w:noWrap/>
            <w:vAlign w:val="center"/>
          </w:tcPr>
          <w:p>
            <w:pPr>
              <w:pStyle w:val="19"/>
              <w:rPr>
                <w:rFonts w:cs="Times New Roman"/>
              </w:rPr>
            </w:pPr>
            <w:r>
              <w:rPr>
                <w:rFonts w:cs="Times New Roman"/>
              </w:rPr>
              <w:t>件</w:t>
            </w:r>
          </w:p>
        </w:tc>
        <w:tc>
          <w:tcPr>
            <w:tcW w:w="1087" w:type="pct"/>
            <w:tcBorders>
              <w:tl2br w:val="nil"/>
              <w:tr2bl w:val="nil"/>
            </w:tcBorders>
            <w:shd w:val="clear" w:color="auto" w:fill="auto"/>
            <w:noWrap/>
            <w:vAlign w:val="center"/>
          </w:tcPr>
          <w:p>
            <w:pPr>
              <w:pStyle w:val="19"/>
              <w:rPr>
                <w:rFonts w:cs="Times New Roman"/>
              </w:rPr>
            </w:pPr>
            <w:r>
              <w:rPr>
                <w:rFonts w:cs="Times New Roman"/>
              </w:rPr>
              <w:t>24</w:t>
            </w:r>
          </w:p>
        </w:tc>
        <w:tc>
          <w:tcPr>
            <w:tcW w:w="1087" w:type="pct"/>
            <w:tcBorders>
              <w:tl2br w:val="nil"/>
              <w:tr2bl w:val="nil"/>
            </w:tcBorders>
            <w:shd w:val="clear" w:color="auto" w:fill="auto"/>
            <w:noWrap/>
            <w:vAlign w:val="center"/>
          </w:tcPr>
          <w:p>
            <w:pPr>
              <w:pStyle w:val="19"/>
              <w:rPr>
                <w:rFonts w:cs="Times New Roman"/>
              </w:rPr>
            </w:pPr>
          </w:p>
        </w:tc>
      </w:tr>
    </w:tbl>
    <w:p>
      <w:pPr>
        <w:ind w:firstLine="480"/>
      </w:pPr>
      <w:r>
        <w:t>水库一旦出现险情需要调用抢险物质时，由</w:t>
      </w:r>
      <w:r>
        <w:rPr>
          <w:rFonts w:hint="eastAsia"/>
        </w:rPr>
        <w:t>工农水库</w:t>
      </w:r>
      <w:r>
        <w:t>防汛应急指挥部下达抢险物资调用指令，管理人员收到指令后积极组织安排车辆将所需抢险物资种类、数量在1小时内运至抢险地点。当储备物资消耗过多或储存品种有限，不能满足抗洪抢险需要时，应及时通知汛前已建立关系的厂家紧急调运所需物资。</w:t>
      </w:r>
    </w:p>
    <w:p>
      <w:pPr>
        <w:pStyle w:val="3"/>
        <w:spacing w:before="120" w:after="120"/>
      </w:pPr>
      <w:bookmarkStart w:id="70" w:name="_Toc17440"/>
      <w:bookmarkStart w:id="71" w:name="_Toc389224170"/>
      <w:r>
        <w:t>7.4通信保障</w:t>
      </w:r>
      <w:bookmarkEnd w:id="70"/>
      <w:bookmarkEnd w:id="71"/>
    </w:p>
    <w:p>
      <w:pPr>
        <w:ind w:firstLine="480"/>
      </w:pPr>
      <w:r>
        <w:t>防汛救灾区域通讯由沙坪坝区电信公司负责。紧急情况下水情、险情信息的应急传递方式：按管辖关系自下而上电话传递。</w:t>
      </w:r>
    </w:p>
    <w:p>
      <w:pPr>
        <w:ind w:firstLine="480"/>
      </w:pPr>
      <w:r>
        <w:t>（1）工农水库值班处配有24h值班电话。</w:t>
      </w:r>
    </w:p>
    <w:p>
      <w:pPr>
        <w:ind w:firstLine="480"/>
      </w:pPr>
      <w:r>
        <w:t>（2）工农水库储备无线对讲机5台，扩音器2台，以备防汛抢险工作所需。</w:t>
      </w:r>
    </w:p>
    <w:p>
      <w:pPr>
        <w:ind w:firstLine="480"/>
      </w:pPr>
      <w:r>
        <w:t>（3）水库值班人员均配有移动电话，能够保持信息传递畅通。</w:t>
      </w:r>
    </w:p>
    <w:p>
      <w:pPr>
        <w:ind w:firstLine="480"/>
      </w:pPr>
      <w:r>
        <w:t>（4）报警装置：工农水库在事故应急抢险时启动报警器。</w:t>
      </w:r>
    </w:p>
    <w:p>
      <w:pPr>
        <w:ind w:firstLine="480"/>
      </w:pPr>
      <w:r>
        <w:t>工农水库值班人员均有移动电话，能够保持信息传递畅通。工程涉及的相关部门，明确了联系人和联系电话</w:t>
      </w:r>
      <w:r>
        <w:rPr>
          <w:rFonts w:hint="eastAsia"/>
        </w:rPr>
        <w:t>（</w:t>
      </w:r>
      <w:r>
        <w:t>两个以上号码</w:t>
      </w:r>
      <w:r>
        <w:rPr>
          <w:rFonts w:hint="eastAsia"/>
        </w:rPr>
        <w:t>）</w:t>
      </w:r>
      <w:r>
        <w:t>，确保应急期间信息畅通。沙坪坝水库管理站要维护好现有通信设备，发生险情后没有通信设备的要迅速建立起通信体系，以保障在应急抢险时沟通联系，指挥到位。</w:t>
      </w:r>
    </w:p>
    <w:p>
      <w:pPr>
        <w:ind w:firstLine="480"/>
      </w:pPr>
      <w:r>
        <w:t>水库工程在正常运行情况下，通过有线电话、移动电话、网络进行水情、险情信息的传送工作，如遇非常时期，可增加无线电对讲机来应急通讯，保证水库工程汛情的传递。车船传送、人工传送、预约信号传送等。</w:t>
      </w:r>
    </w:p>
    <w:p>
      <w:pPr>
        <w:ind w:firstLine="480"/>
      </w:pPr>
      <w:r>
        <w:t>在防汛抢险时，工农水库防汛抢险应急指挥部可采用移动手机来指挥抢险工作，根据抢险通讯需要，可以启用储备的无线电对讲机、扩音器传送。</w:t>
      </w:r>
    </w:p>
    <w:p>
      <w:pPr>
        <w:ind w:firstLine="480"/>
      </w:pPr>
      <w:r>
        <w:t>应急通讯值班人员必须坚守岗位，尽职尽责，执行24小时值班制度，值班人员要熟习通讯电话号码，做到及时、准确、快速地传递汛情信息、险情信息、指挥调度指令，随时做好向有关领导的汇报工作，及时为领导对水库的调度提供决策的依据。</w:t>
      </w:r>
    </w:p>
    <w:p>
      <w:pPr>
        <w:pStyle w:val="4"/>
        <w:spacing w:before="120" w:after="120"/>
      </w:pPr>
      <w:r>
        <w:t>7.4.1水情险情的传递方式</w:t>
      </w:r>
    </w:p>
    <w:p>
      <w:pPr>
        <w:ind w:firstLine="480"/>
      </w:pPr>
      <w:r>
        <w:t>水库应有专用防汛电话两部以上（微波通信或有限电话）。在正常运行情况下，水库监测人员通过大坝有线电话、移动电话进行水情、险情信息的传递工作。如遇非常时期，可增加移动电话以及无线电对讲机来应急通信，保证水库工程汛情和传达各级防汛指挥部命令。</w:t>
      </w:r>
    </w:p>
    <w:p>
      <w:pPr>
        <w:ind w:firstLine="480"/>
      </w:pPr>
      <w:r>
        <w:t>在防汛抢险时，水库防汛应急指挥部可采用移动电话来指挥抢险工作。防汛电话汛期内不得私自拨打外线，24h专人值守，如遇汛期险情或与汛情有关问题时才能向上级拨打，做到上情下达，下情上报。根据抢险通讯需要，工农水库储备无线对讲机5台，扩音器2台，以备防汛抢险工作所需。</w:t>
      </w:r>
    </w:p>
    <w:p>
      <w:pPr>
        <w:pStyle w:val="4"/>
        <w:spacing w:before="120" w:after="120"/>
      </w:pPr>
      <w:r>
        <w:t>7.4.2抢险指挥通信</w:t>
      </w:r>
    </w:p>
    <w:p>
      <w:pPr>
        <w:ind w:firstLine="480"/>
      </w:pPr>
      <w:r>
        <w:t>抢险指挥通信，采用现代加原始通信方式，即综合利用现在有线、移动通信设施，保障抢险指挥上下通畅，在雷闪天气和特殊水情、工情条件下，采用通信员通信和特殊信号通信，确保防汛应急指挥部命令及时传达。</w:t>
      </w:r>
    </w:p>
    <w:p>
      <w:pPr>
        <w:pStyle w:val="3"/>
        <w:spacing w:before="120" w:after="120"/>
      </w:pPr>
      <w:bookmarkStart w:id="72" w:name="_Toc15010"/>
      <w:bookmarkStart w:id="73" w:name="_Toc389224171"/>
      <w:r>
        <w:t>7.5其他保障</w:t>
      </w:r>
      <w:bookmarkEnd w:id="72"/>
      <w:bookmarkEnd w:id="73"/>
    </w:p>
    <w:p>
      <w:pPr>
        <w:ind w:firstLine="480"/>
      </w:pPr>
      <w:r>
        <w:rPr>
          <w:rFonts w:hint="eastAsia"/>
        </w:rPr>
        <w:t>（1）车辆保障</w:t>
      </w:r>
    </w:p>
    <w:p>
      <w:pPr>
        <w:ind w:firstLine="480"/>
      </w:pPr>
      <w:r>
        <w:t>工农水库备有小型车辆若干台，防汛期间加强车辆的日常保养，保证一旦发生险情，能够及时、安全地到达指定地点。确保进入灾区的公路畅通，优先保证抢险救灾人员，物质的运输和灾民的疏散。</w:t>
      </w:r>
    </w:p>
    <w:p>
      <w:pPr>
        <w:ind w:firstLine="480"/>
      </w:pPr>
      <w:r>
        <w:rPr>
          <w:rFonts w:hint="eastAsia"/>
        </w:rPr>
        <w:t>（2）</w:t>
      </w:r>
      <w:r>
        <w:t>医疗卫生保障</w:t>
      </w:r>
    </w:p>
    <w:p>
      <w:pPr>
        <w:ind w:firstLine="480"/>
      </w:pPr>
      <w:r>
        <w:t>医疗卫生保障主要以青木关镇医院为中心，辖区所有的医疗卫生防疫机构参与，一旦发生灾情，民政办（卫生防疫站）主动联系当地医院组织医疗防疫队伍进入灾区，组建灾区临时医疗所，抢险、运转、医疗伤病员，及时检查、监测灾区饮用水源安全，保证救援工作顺利进行。</w:t>
      </w:r>
    </w:p>
    <w:p>
      <w:pPr>
        <w:ind w:firstLine="480"/>
      </w:pPr>
      <w:r>
        <w:rPr>
          <w:rFonts w:hint="eastAsia"/>
        </w:rPr>
        <w:t>（3）</w:t>
      </w:r>
      <w:r>
        <w:t>治安保障</w:t>
      </w:r>
    </w:p>
    <w:p>
      <w:pPr>
        <w:ind w:firstLine="480"/>
        <w:rPr>
          <w:szCs w:val="28"/>
        </w:rPr>
      </w:pPr>
      <w:r>
        <w:t>由青木关镇派出所加强灾区治安管理和安全保卫工作，预防和打击各种违法犯罪活动，维护社会治安、道路交通秩序，保证抢险救灾工作的顺利进行。</w:t>
      </w:r>
    </w:p>
    <w:p>
      <w:pPr>
        <w:ind w:firstLine="560"/>
        <w:rPr>
          <w:sz w:val="28"/>
          <w:szCs w:val="28"/>
        </w:rPr>
        <w:sectPr>
          <w:pgSz w:w="11905" w:h="16838"/>
          <w:pgMar w:top="1417" w:right="1502" w:bottom="1417" w:left="1502" w:header="850" w:footer="992" w:gutter="0"/>
          <w:cols w:space="0" w:num="1"/>
          <w:docGrid w:linePitch="312" w:charSpace="0"/>
        </w:sectPr>
      </w:pPr>
    </w:p>
    <w:p>
      <w:pPr>
        <w:pStyle w:val="2"/>
        <w:spacing w:before="240" w:after="240"/>
      </w:pPr>
      <w:bookmarkStart w:id="74" w:name="_Toc26335"/>
      <w:r>
        <w:t>8调查与评估</w:t>
      </w:r>
      <w:bookmarkEnd w:id="74"/>
    </w:p>
    <w:p>
      <w:pPr>
        <w:ind w:firstLine="480"/>
      </w:pPr>
      <w:r>
        <w:t>灾情解除后，根据水库大坝突发事件的起因、性质、影响、责任、经验教训和恢复重建等问题进行调查评估，必要时应对突发事件的处理机制进行分析研究。</w:t>
      </w:r>
    </w:p>
    <w:p>
      <w:pPr>
        <w:ind w:firstLine="480"/>
      </w:pPr>
      <w:r>
        <w:fldChar w:fldCharType="begin"/>
      </w:r>
      <w:r>
        <w:instrText xml:space="preserve">=1\*GB2</w:instrText>
      </w:r>
      <w:r>
        <w:fldChar w:fldCharType="separate"/>
      </w:r>
      <w:r>
        <w:t>（1）</w:t>
      </w:r>
      <w:r>
        <w:fldChar w:fldCharType="end"/>
      </w:r>
      <w:r>
        <w:t>调查评估工作的内容、程序、时间要求及报告方式</w:t>
      </w:r>
    </w:p>
    <w:p>
      <w:pPr>
        <w:ind w:firstLine="480"/>
      </w:pPr>
      <w:r>
        <w:t>调查评估内容包括：</w:t>
      </w:r>
      <w:r>
        <w:fldChar w:fldCharType="begin"/>
      </w:r>
      <w:r>
        <w:instrText xml:space="preserve">=1\*GB3</w:instrText>
      </w:r>
      <w:r>
        <w:fldChar w:fldCharType="separate"/>
      </w:r>
      <w:r>
        <w:t>①</w:t>
      </w:r>
      <w:r>
        <w:fldChar w:fldCharType="end"/>
      </w:r>
      <w:r>
        <w:t>何种突发事件引起灾情；②灾情影响范围；③灾情处置措施是否妥当；④受灾伤亡人数和财物损失情况；⑤救灾物资派发情况和灾民基本生活保障情况；⑥有关职能部门履行灾情处置情况；⑦转移安置安全高地是否合适；⑧生态破坏情况及如何恢复；⑨灾后如何重建；⑩工作建议或需改正防灾、救灾工作方面。</w:t>
      </w:r>
    </w:p>
    <w:p>
      <w:pPr>
        <w:ind w:firstLine="480"/>
      </w:pPr>
      <w:r>
        <w:t>调查评估工作的程序：调查评估机构建立或授权→到有关灾情现场视察→征召有关人员谈话了解实际情况→收集有关信息或文字资料→编制调查评估报告→向沙坪坝区防汛抗旱指挥部提交调查评估报告。</w:t>
      </w:r>
    </w:p>
    <w:p>
      <w:pPr>
        <w:ind w:firstLine="480"/>
      </w:pPr>
      <w:r>
        <w:t>调查评估工作的时间要求：2个月内完成调查评估全过程的工作。</w:t>
      </w:r>
    </w:p>
    <w:p>
      <w:pPr>
        <w:ind w:firstLine="480"/>
      </w:pPr>
      <w:r>
        <w:t>调查评估工作结果报告方式：调查评估机构须以详尽的文字和图片报告方式提交沙坪坝区防汛抗旱指挥部。</w:t>
      </w:r>
    </w:p>
    <w:p>
      <w:pPr>
        <w:ind w:firstLine="480"/>
      </w:pPr>
      <w:r>
        <w:fldChar w:fldCharType="begin"/>
      </w:r>
      <w:r>
        <w:instrText xml:space="preserve">=2\*GB2</w:instrText>
      </w:r>
      <w:r>
        <w:fldChar w:fldCharType="separate"/>
      </w:r>
      <w:r>
        <w:t>（2）</w:t>
      </w:r>
      <w:r>
        <w:fldChar w:fldCharType="end"/>
      </w:r>
      <w:r>
        <w:t>调查与评估工作的责任部门和责任人</w:t>
      </w:r>
    </w:p>
    <w:p>
      <w:pPr>
        <w:ind w:firstLine="480"/>
        <w:rPr>
          <w:szCs w:val="28"/>
        </w:rPr>
      </w:pPr>
      <w:r>
        <w:t>由沙坪坝区防汛抗旱指挥部从有关职能部门抽调人员组成调查评估机构或委托授权有关部门进行调查和评估；调查与评估工作责任人由沙坪坝区防汛抗旱指挥部任命或指定。</w:t>
      </w:r>
    </w:p>
    <w:p>
      <w:pPr>
        <w:ind w:firstLine="560"/>
        <w:rPr>
          <w:sz w:val="28"/>
          <w:szCs w:val="28"/>
        </w:rPr>
        <w:sectPr>
          <w:pgSz w:w="11905" w:h="16838"/>
          <w:pgMar w:top="1417" w:right="1502" w:bottom="1417" w:left="1502" w:header="850" w:footer="992" w:gutter="0"/>
          <w:cols w:space="0" w:num="1"/>
          <w:docGrid w:linePitch="312" w:charSpace="0"/>
        </w:sectPr>
      </w:pPr>
    </w:p>
    <w:p>
      <w:pPr>
        <w:pStyle w:val="2"/>
        <w:spacing w:before="240" w:after="240"/>
      </w:pPr>
      <w:bookmarkStart w:id="75" w:name="_Toc27147"/>
      <w:r>
        <w:t>9培训与演练</w:t>
      </w:r>
      <w:bookmarkEnd w:id="75"/>
    </w:p>
    <w:p>
      <w:pPr>
        <w:pStyle w:val="3"/>
        <w:spacing w:before="120" w:after="120"/>
      </w:pPr>
      <w:bookmarkStart w:id="76" w:name="_Toc323302970"/>
      <w:bookmarkStart w:id="77" w:name="_Toc25421"/>
      <w:r>
        <w:t>9.1培训</w:t>
      </w:r>
      <w:bookmarkEnd w:id="76"/>
      <w:bookmarkEnd w:id="77"/>
    </w:p>
    <w:p>
      <w:pPr>
        <w:ind w:firstLine="480"/>
      </w:pPr>
      <w:r>
        <w:t>由青木关镇人民政府拨付培训资金，委托或指定有关职能部门对应急指挥部成员单位负责人及职工进行防灾救灾工作培训；对库区及下游有关镇负责人、分片包干责任人、村委主任等进行培训，了解事件的处置流程，充分了解转移撤离的信号、路线、地点、安置营地的选取等内容，确保人民群众转移撤离、防灾救灾工作有的放矢，快速、顺利地保证撤离工作的完成。</w:t>
      </w:r>
    </w:p>
    <w:p>
      <w:pPr>
        <w:pStyle w:val="3"/>
        <w:spacing w:before="120" w:after="120"/>
      </w:pPr>
      <w:bookmarkStart w:id="78" w:name="_Toc323302971"/>
      <w:bookmarkStart w:id="79" w:name="_Toc24552"/>
      <w:r>
        <w:t>9.2</w:t>
      </w:r>
      <w:bookmarkEnd w:id="78"/>
      <w:r>
        <w:t>演练</w:t>
      </w:r>
      <w:bookmarkEnd w:id="79"/>
    </w:p>
    <w:p>
      <w:pPr>
        <w:ind w:firstLine="480"/>
        <w:rPr>
          <w:szCs w:val="28"/>
        </w:rPr>
      </w:pPr>
      <w:r>
        <w:t>由沙坪坝区防汛抗旱指挥部以适当的方式和规模组织有关职能部门、工农水库库区及下游有关乡镇的职工、群众参与本预案的演习工作，检验本预案的成效性和积累风险处置经验。</w:t>
      </w:r>
    </w:p>
    <w:p>
      <w:pPr>
        <w:ind w:firstLine="560"/>
        <w:rPr>
          <w:sz w:val="28"/>
          <w:szCs w:val="28"/>
        </w:rPr>
        <w:sectPr>
          <w:pgSz w:w="11905" w:h="16838"/>
          <w:pgMar w:top="1417" w:right="1502" w:bottom="1417" w:left="1502" w:header="850" w:footer="992" w:gutter="0"/>
          <w:cols w:space="0" w:num="1"/>
          <w:docGrid w:linePitch="312" w:charSpace="0"/>
        </w:sectPr>
      </w:pPr>
    </w:p>
    <w:p>
      <w:pPr>
        <w:pStyle w:val="2"/>
        <w:spacing w:before="240" w:after="240"/>
      </w:pPr>
      <w:bookmarkStart w:id="80" w:name="_Toc7905"/>
      <w:r>
        <w:t>10制订与解释部门</w:t>
      </w:r>
      <w:bookmarkEnd w:id="80"/>
    </w:p>
    <w:p>
      <w:pPr>
        <w:ind w:firstLine="480"/>
        <w:rPr>
          <w:szCs w:val="28"/>
        </w:rPr>
      </w:pPr>
      <w:r>
        <w:t>本预案由重庆市沙坪坝区农业农村委员会制订，最终解释权归重庆市沙坪坝区农业农村委员会。</w:t>
      </w:r>
    </w:p>
    <w:p>
      <w:pPr>
        <w:spacing w:before="120" w:beforeLines="50"/>
        <w:ind w:firstLine="560"/>
        <w:rPr>
          <w:sz w:val="28"/>
          <w:szCs w:val="28"/>
        </w:rPr>
        <w:sectPr>
          <w:pgSz w:w="11905" w:h="16838"/>
          <w:pgMar w:top="1417" w:right="1502" w:bottom="1417" w:left="1502" w:header="850" w:footer="992" w:gutter="0"/>
          <w:cols w:space="0" w:num="1"/>
          <w:docGrid w:linePitch="312" w:charSpace="0"/>
        </w:sectPr>
      </w:pPr>
    </w:p>
    <w:p>
      <w:pPr>
        <w:pStyle w:val="2"/>
        <w:spacing w:before="240" w:after="240"/>
      </w:pPr>
      <w:bookmarkStart w:id="81" w:name="_Toc14797"/>
      <w:r>
        <w:t>11预案实施时间</w:t>
      </w:r>
      <w:bookmarkEnd w:id="81"/>
    </w:p>
    <w:p>
      <w:pPr>
        <w:ind w:firstLine="480"/>
        <w:rPr>
          <w:szCs w:val="28"/>
        </w:rPr>
      </w:pPr>
      <w:r>
        <w:t>本预案自批复之日起</w:t>
      </w:r>
      <w:r>
        <w:rPr>
          <w:rFonts w:hint="eastAsia"/>
        </w:rPr>
        <w:t>生效</w:t>
      </w:r>
      <w:r>
        <w:t>实施。</w:t>
      </w:r>
    </w:p>
    <w:p>
      <w:pPr>
        <w:spacing w:before="120" w:beforeLines="50"/>
        <w:ind w:firstLine="560"/>
        <w:rPr>
          <w:sz w:val="28"/>
          <w:szCs w:val="28"/>
        </w:rPr>
        <w:sectPr>
          <w:pgSz w:w="11905" w:h="16838"/>
          <w:pgMar w:top="1417" w:right="1502" w:bottom="1417" w:left="1502" w:header="850" w:footer="992" w:gutter="0"/>
          <w:cols w:space="0" w:num="1"/>
          <w:docGrid w:linePitch="312" w:charSpace="0"/>
        </w:sectPr>
      </w:pPr>
    </w:p>
    <w:p>
      <w:pPr>
        <w:pStyle w:val="2"/>
        <w:spacing w:before="240" w:after="240"/>
      </w:pPr>
      <w:bookmarkStart w:id="82" w:name="_Toc16111"/>
      <w:r>
        <w:t>12附件</w:t>
      </w:r>
      <w:bookmarkEnd w:id="82"/>
    </w:p>
    <w:p>
      <w:pPr>
        <w:pStyle w:val="3"/>
        <w:spacing w:before="120" w:after="120"/>
        <w:jc w:val="center"/>
      </w:pPr>
      <w:bookmarkStart w:id="83" w:name="_Toc389230746"/>
      <w:bookmarkStart w:id="84" w:name="_Toc23662"/>
      <w:bookmarkStart w:id="85" w:name="_Toc21638"/>
      <w:bookmarkStart w:id="86" w:name="_Toc21895"/>
      <w:bookmarkStart w:id="87" w:name="_Toc372628272"/>
      <w:r>
        <w:t>附件1  工农水库工程特性表</w:t>
      </w:r>
      <w:bookmarkEnd w:id="83"/>
      <w:bookmarkEnd w:id="84"/>
      <w:bookmarkEnd w:id="85"/>
      <w:bookmarkEnd w:id="86"/>
      <w:bookmarkEnd w:id="87"/>
    </w:p>
    <w:tbl>
      <w:tblPr>
        <w:tblStyle w:val="10"/>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00"/>
        <w:gridCol w:w="3113"/>
        <w:gridCol w:w="1267"/>
        <w:gridCol w:w="2068"/>
        <w:gridCol w:w="16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49" w:type="pct"/>
            <w:vAlign w:val="center"/>
          </w:tcPr>
          <w:p>
            <w:pPr>
              <w:pStyle w:val="19"/>
              <w:rPr>
                <w:rFonts w:cs="Times New Roman"/>
              </w:rPr>
            </w:pPr>
            <w:r>
              <w:rPr>
                <w:rFonts w:cs="Times New Roman"/>
              </w:rPr>
              <w:t>序号</w:t>
            </w:r>
          </w:p>
        </w:tc>
        <w:tc>
          <w:tcPr>
            <w:tcW w:w="1708" w:type="pct"/>
            <w:vAlign w:val="center"/>
          </w:tcPr>
          <w:p>
            <w:pPr>
              <w:pStyle w:val="19"/>
              <w:rPr>
                <w:rFonts w:cs="Times New Roman"/>
              </w:rPr>
            </w:pPr>
            <w:r>
              <w:rPr>
                <w:rFonts w:cs="Times New Roman"/>
              </w:rPr>
              <w:t>名称</w:t>
            </w:r>
          </w:p>
        </w:tc>
        <w:tc>
          <w:tcPr>
            <w:tcW w:w="695" w:type="pct"/>
            <w:vAlign w:val="center"/>
          </w:tcPr>
          <w:p>
            <w:pPr>
              <w:pStyle w:val="19"/>
              <w:rPr>
                <w:rFonts w:cs="Times New Roman"/>
              </w:rPr>
            </w:pPr>
            <w:r>
              <w:rPr>
                <w:rFonts w:cs="Times New Roman"/>
              </w:rPr>
              <w:t>单位</w:t>
            </w:r>
          </w:p>
        </w:tc>
        <w:tc>
          <w:tcPr>
            <w:tcW w:w="1135" w:type="pct"/>
            <w:vAlign w:val="center"/>
          </w:tcPr>
          <w:p>
            <w:pPr>
              <w:pStyle w:val="19"/>
              <w:rPr>
                <w:rFonts w:cs="Times New Roman"/>
              </w:rPr>
            </w:pPr>
            <w:r>
              <w:rPr>
                <w:rFonts w:cs="Times New Roman"/>
              </w:rPr>
              <w:t>数量</w:t>
            </w:r>
          </w:p>
        </w:tc>
        <w:tc>
          <w:tcPr>
            <w:tcW w:w="910" w:type="pct"/>
            <w:vAlign w:val="center"/>
          </w:tcPr>
          <w:p>
            <w:pPr>
              <w:pStyle w:val="19"/>
              <w:rPr>
                <w:rFonts w:cs="Times New Roman"/>
              </w:rPr>
            </w:pPr>
            <w:r>
              <w:rPr>
                <w:rFonts w:cs="Times New Roman"/>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一</w:t>
            </w:r>
          </w:p>
        </w:tc>
        <w:tc>
          <w:tcPr>
            <w:tcW w:w="1708" w:type="pct"/>
            <w:vAlign w:val="center"/>
          </w:tcPr>
          <w:p>
            <w:pPr>
              <w:pStyle w:val="19"/>
              <w:rPr>
                <w:rFonts w:cs="Times New Roman"/>
              </w:rPr>
            </w:pPr>
            <w:r>
              <w:rPr>
                <w:rFonts w:cs="Times New Roman"/>
              </w:rPr>
              <w:t>河流特征</w:t>
            </w:r>
          </w:p>
        </w:tc>
        <w:tc>
          <w:tcPr>
            <w:tcW w:w="695" w:type="pct"/>
            <w:vAlign w:val="center"/>
          </w:tcPr>
          <w:p>
            <w:pPr>
              <w:pStyle w:val="19"/>
              <w:rPr>
                <w:rFonts w:cs="Times New Roman"/>
              </w:rPr>
            </w:pPr>
          </w:p>
        </w:tc>
        <w:tc>
          <w:tcPr>
            <w:tcW w:w="1135" w:type="pct"/>
            <w:vAlign w:val="center"/>
          </w:tcPr>
          <w:p>
            <w:pPr>
              <w:pStyle w:val="19"/>
              <w:rPr>
                <w:rFonts w:cs="Times New Roman"/>
              </w:rPr>
            </w:pP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1</w:t>
            </w:r>
          </w:p>
        </w:tc>
        <w:tc>
          <w:tcPr>
            <w:tcW w:w="1708" w:type="pct"/>
            <w:vAlign w:val="center"/>
          </w:tcPr>
          <w:p>
            <w:pPr>
              <w:pStyle w:val="19"/>
              <w:rPr>
                <w:rFonts w:cs="Times New Roman"/>
              </w:rPr>
            </w:pPr>
            <w:r>
              <w:rPr>
                <w:rFonts w:cs="Times New Roman"/>
              </w:rPr>
              <w:t>坝址集雨面积</w:t>
            </w:r>
          </w:p>
        </w:tc>
        <w:tc>
          <w:tcPr>
            <w:tcW w:w="695" w:type="pct"/>
            <w:vAlign w:val="center"/>
          </w:tcPr>
          <w:p>
            <w:pPr>
              <w:pStyle w:val="19"/>
              <w:rPr>
                <w:rFonts w:cs="Times New Roman"/>
              </w:rPr>
            </w:pPr>
            <w:r>
              <w:rPr>
                <w:rFonts w:cs="Times New Roman"/>
              </w:rPr>
              <w:t>km²</w:t>
            </w:r>
          </w:p>
        </w:tc>
        <w:tc>
          <w:tcPr>
            <w:tcW w:w="1135" w:type="pct"/>
            <w:vAlign w:val="center"/>
          </w:tcPr>
          <w:p>
            <w:pPr>
              <w:pStyle w:val="19"/>
              <w:rPr>
                <w:rFonts w:cs="Times New Roman"/>
              </w:rPr>
            </w:pPr>
            <w:r>
              <w:rPr>
                <w:rFonts w:cs="Times New Roman"/>
              </w:rPr>
              <w:t>25.51</w:t>
            </w: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2</w:t>
            </w:r>
          </w:p>
        </w:tc>
        <w:tc>
          <w:tcPr>
            <w:tcW w:w="1708" w:type="pct"/>
            <w:vAlign w:val="center"/>
          </w:tcPr>
          <w:p>
            <w:pPr>
              <w:pStyle w:val="19"/>
              <w:rPr>
                <w:rFonts w:cs="Times New Roman"/>
              </w:rPr>
            </w:pPr>
            <w:r>
              <w:rPr>
                <w:rFonts w:cs="Times New Roman"/>
              </w:rPr>
              <w:t>主河道长</w:t>
            </w:r>
          </w:p>
        </w:tc>
        <w:tc>
          <w:tcPr>
            <w:tcW w:w="695" w:type="pct"/>
            <w:vAlign w:val="center"/>
          </w:tcPr>
          <w:p>
            <w:pPr>
              <w:pStyle w:val="19"/>
              <w:rPr>
                <w:rFonts w:cs="Times New Roman"/>
              </w:rPr>
            </w:pPr>
            <w:r>
              <w:rPr>
                <w:rFonts w:cs="Times New Roman"/>
              </w:rPr>
              <w:t>km</w:t>
            </w:r>
          </w:p>
        </w:tc>
        <w:tc>
          <w:tcPr>
            <w:tcW w:w="1135" w:type="pct"/>
            <w:vAlign w:val="center"/>
          </w:tcPr>
          <w:p>
            <w:pPr>
              <w:pStyle w:val="19"/>
              <w:rPr>
                <w:rFonts w:cs="Times New Roman"/>
              </w:rPr>
            </w:pPr>
            <w:r>
              <w:rPr>
                <w:rFonts w:cs="Times New Roman"/>
              </w:rPr>
              <w:t>7.84</w:t>
            </w: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3</w:t>
            </w:r>
          </w:p>
        </w:tc>
        <w:tc>
          <w:tcPr>
            <w:tcW w:w="1708" w:type="pct"/>
            <w:vAlign w:val="center"/>
          </w:tcPr>
          <w:p>
            <w:pPr>
              <w:pStyle w:val="19"/>
              <w:rPr>
                <w:rFonts w:cs="Times New Roman"/>
              </w:rPr>
            </w:pPr>
            <w:r>
              <w:rPr>
                <w:rFonts w:cs="Times New Roman"/>
              </w:rPr>
              <w:t>河道平均坡降</w:t>
            </w:r>
          </w:p>
        </w:tc>
        <w:tc>
          <w:tcPr>
            <w:tcW w:w="695" w:type="pct"/>
            <w:vAlign w:val="center"/>
          </w:tcPr>
          <w:p>
            <w:pPr>
              <w:pStyle w:val="19"/>
              <w:rPr>
                <w:rFonts w:cs="Times New Roman"/>
              </w:rPr>
            </w:pPr>
            <w:r>
              <w:rPr>
                <w:rFonts w:cs="Times New Roman"/>
              </w:rPr>
              <w:t>‰</w:t>
            </w:r>
          </w:p>
        </w:tc>
        <w:tc>
          <w:tcPr>
            <w:tcW w:w="1135" w:type="pct"/>
            <w:vAlign w:val="center"/>
          </w:tcPr>
          <w:p>
            <w:pPr>
              <w:pStyle w:val="19"/>
              <w:rPr>
                <w:rFonts w:cs="Times New Roman"/>
              </w:rPr>
            </w:pPr>
            <w:r>
              <w:rPr>
                <w:rFonts w:cs="Times New Roman"/>
              </w:rPr>
              <w:t>17.63</w:t>
            </w: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二</w:t>
            </w:r>
          </w:p>
        </w:tc>
        <w:tc>
          <w:tcPr>
            <w:tcW w:w="1708" w:type="pct"/>
            <w:vAlign w:val="center"/>
          </w:tcPr>
          <w:p>
            <w:pPr>
              <w:pStyle w:val="19"/>
              <w:rPr>
                <w:rFonts w:cs="Times New Roman"/>
              </w:rPr>
            </w:pPr>
            <w:r>
              <w:rPr>
                <w:rFonts w:cs="Times New Roman"/>
              </w:rPr>
              <w:t>气象特征</w:t>
            </w:r>
          </w:p>
        </w:tc>
        <w:tc>
          <w:tcPr>
            <w:tcW w:w="695" w:type="pct"/>
            <w:vAlign w:val="center"/>
          </w:tcPr>
          <w:p>
            <w:pPr>
              <w:pStyle w:val="19"/>
              <w:rPr>
                <w:rFonts w:cs="Times New Roman"/>
              </w:rPr>
            </w:pPr>
          </w:p>
        </w:tc>
        <w:tc>
          <w:tcPr>
            <w:tcW w:w="1135" w:type="pct"/>
            <w:vAlign w:val="center"/>
          </w:tcPr>
          <w:p>
            <w:pPr>
              <w:pStyle w:val="19"/>
              <w:rPr>
                <w:rFonts w:cs="Times New Roman"/>
              </w:rPr>
            </w:pP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1</w:t>
            </w:r>
          </w:p>
        </w:tc>
        <w:tc>
          <w:tcPr>
            <w:tcW w:w="1708" w:type="pct"/>
            <w:vAlign w:val="center"/>
          </w:tcPr>
          <w:p>
            <w:pPr>
              <w:pStyle w:val="19"/>
              <w:rPr>
                <w:rFonts w:cs="Times New Roman"/>
              </w:rPr>
            </w:pPr>
            <w:r>
              <w:rPr>
                <w:rFonts w:cs="Times New Roman"/>
              </w:rPr>
              <w:t>多年平均降雨量</w:t>
            </w:r>
          </w:p>
        </w:tc>
        <w:tc>
          <w:tcPr>
            <w:tcW w:w="695" w:type="pct"/>
            <w:vAlign w:val="center"/>
          </w:tcPr>
          <w:p>
            <w:pPr>
              <w:pStyle w:val="19"/>
              <w:rPr>
                <w:rFonts w:cs="Times New Roman"/>
              </w:rPr>
            </w:pPr>
            <w:r>
              <w:rPr>
                <w:rFonts w:cs="Times New Roman"/>
              </w:rPr>
              <w:t>mm</w:t>
            </w:r>
          </w:p>
        </w:tc>
        <w:tc>
          <w:tcPr>
            <w:tcW w:w="1135" w:type="pct"/>
            <w:vAlign w:val="center"/>
          </w:tcPr>
          <w:p>
            <w:pPr>
              <w:pStyle w:val="19"/>
              <w:rPr>
                <w:rFonts w:cs="Times New Roman"/>
              </w:rPr>
            </w:pPr>
            <w:r>
              <w:rPr>
                <w:rFonts w:hint="eastAsia" w:cs="Times New Roman"/>
              </w:rPr>
              <w:t>1180</w:t>
            </w: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2</w:t>
            </w:r>
          </w:p>
        </w:tc>
        <w:tc>
          <w:tcPr>
            <w:tcW w:w="1708" w:type="pct"/>
            <w:vAlign w:val="center"/>
          </w:tcPr>
          <w:p>
            <w:pPr>
              <w:pStyle w:val="19"/>
              <w:rPr>
                <w:rFonts w:cs="Times New Roman"/>
              </w:rPr>
            </w:pPr>
            <w:r>
              <w:rPr>
                <w:rFonts w:cs="Times New Roman"/>
              </w:rPr>
              <w:t>多年平均气温</w:t>
            </w:r>
          </w:p>
        </w:tc>
        <w:tc>
          <w:tcPr>
            <w:tcW w:w="695" w:type="pct"/>
            <w:vAlign w:val="center"/>
          </w:tcPr>
          <w:p>
            <w:pPr>
              <w:pStyle w:val="19"/>
              <w:rPr>
                <w:rFonts w:cs="Times New Roman"/>
              </w:rPr>
            </w:pPr>
            <w:r>
              <w:rPr>
                <w:rFonts w:cs="Times New Roman"/>
              </w:rPr>
              <w:t>℃</w:t>
            </w:r>
          </w:p>
        </w:tc>
        <w:tc>
          <w:tcPr>
            <w:tcW w:w="1135" w:type="pct"/>
            <w:vAlign w:val="center"/>
          </w:tcPr>
          <w:p>
            <w:pPr>
              <w:pStyle w:val="19"/>
              <w:rPr>
                <w:rFonts w:cs="Times New Roman"/>
              </w:rPr>
            </w:pPr>
            <w:r>
              <w:rPr>
                <w:rFonts w:cs="Times New Roman"/>
              </w:rPr>
              <w:t>18.4</w:t>
            </w: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3</w:t>
            </w:r>
          </w:p>
        </w:tc>
        <w:tc>
          <w:tcPr>
            <w:tcW w:w="1708" w:type="pct"/>
            <w:vAlign w:val="center"/>
          </w:tcPr>
          <w:p>
            <w:pPr>
              <w:pStyle w:val="19"/>
              <w:rPr>
                <w:rFonts w:cs="Times New Roman"/>
              </w:rPr>
            </w:pPr>
            <w:r>
              <w:rPr>
                <w:rFonts w:cs="Times New Roman"/>
              </w:rPr>
              <w:t>极端最高气温</w:t>
            </w:r>
          </w:p>
        </w:tc>
        <w:tc>
          <w:tcPr>
            <w:tcW w:w="695" w:type="pct"/>
            <w:vAlign w:val="center"/>
          </w:tcPr>
          <w:p>
            <w:pPr>
              <w:pStyle w:val="19"/>
              <w:rPr>
                <w:rFonts w:cs="Times New Roman"/>
              </w:rPr>
            </w:pPr>
            <w:r>
              <w:rPr>
                <w:rFonts w:cs="Times New Roman"/>
              </w:rPr>
              <w:t>℃</w:t>
            </w:r>
          </w:p>
        </w:tc>
        <w:tc>
          <w:tcPr>
            <w:tcW w:w="1135" w:type="pct"/>
            <w:vAlign w:val="center"/>
          </w:tcPr>
          <w:p>
            <w:pPr>
              <w:pStyle w:val="19"/>
              <w:rPr>
                <w:rFonts w:cs="Times New Roman"/>
              </w:rPr>
            </w:pPr>
            <w:r>
              <w:rPr>
                <w:rFonts w:cs="Times New Roman"/>
              </w:rPr>
              <w:t>42.2</w:t>
            </w: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4</w:t>
            </w:r>
          </w:p>
        </w:tc>
        <w:tc>
          <w:tcPr>
            <w:tcW w:w="1708" w:type="pct"/>
            <w:vAlign w:val="center"/>
          </w:tcPr>
          <w:p>
            <w:pPr>
              <w:pStyle w:val="19"/>
              <w:rPr>
                <w:rFonts w:cs="Times New Roman"/>
              </w:rPr>
            </w:pPr>
            <w:r>
              <w:rPr>
                <w:rFonts w:cs="Times New Roman"/>
              </w:rPr>
              <w:t>极端最低气温</w:t>
            </w:r>
          </w:p>
        </w:tc>
        <w:tc>
          <w:tcPr>
            <w:tcW w:w="695" w:type="pct"/>
            <w:vAlign w:val="center"/>
          </w:tcPr>
          <w:p>
            <w:pPr>
              <w:pStyle w:val="19"/>
              <w:rPr>
                <w:rFonts w:cs="Times New Roman"/>
              </w:rPr>
            </w:pPr>
            <w:r>
              <w:rPr>
                <w:rFonts w:cs="Times New Roman"/>
              </w:rPr>
              <w:t>℃</w:t>
            </w:r>
          </w:p>
        </w:tc>
        <w:tc>
          <w:tcPr>
            <w:tcW w:w="1135" w:type="pct"/>
            <w:vAlign w:val="center"/>
          </w:tcPr>
          <w:p>
            <w:pPr>
              <w:pStyle w:val="19"/>
              <w:rPr>
                <w:rFonts w:cs="Times New Roman"/>
              </w:rPr>
            </w:pPr>
            <w:r>
              <w:rPr>
                <w:rFonts w:cs="Times New Roman"/>
              </w:rPr>
              <w:t>-1.5</w:t>
            </w: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5</w:t>
            </w:r>
          </w:p>
        </w:tc>
        <w:tc>
          <w:tcPr>
            <w:tcW w:w="1708" w:type="pct"/>
            <w:vAlign w:val="center"/>
          </w:tcPr>
          <w:p>
            <w:pPr>
              <w:pStyle w:val="19"/>
              <w:rPr>
                <w:rFonts w:cs="Times New Roman"/>
              </w:rPr>
            </w:pPr>
            <w:r>
              <w:rPr>
                <w:rFonts w:cs="Times New Roman"/>
              </w:rPr>
              <w:t>多年平均最大风速</w:t>
            </w:r>
          </w:p>
        </w:tc>
        <w:tc>
          <w:tcPr>
            <w:tcW w:w="695" w:type="pct"/>
            <w:vAlign w:val="center"/>
          </w:tcPr>
          <w:p>
            <w:pPr>
              <w:pStyle w:val="19"/>
              <w:rPr>
                <w:rFonts w:cs="Times New Roman"/>
              </w:rPr>
            </w:pPr>
            <w:r>
              <w:rPr>
                <w:rFonts w:cs="Times New Roman"/>
              </w:rPr>
              <w:t>m/s</w:t>
            </w:r>
          </w:p>
        </w:tc>
        <w:tc>
          <w:tcPr>
            <w:tcW w:w="1135" w:type="pct"/>
            <w:vAlign w:val="center"/>
          </w:tcPr>
          <w:p>
            <w:pPr>
              <w:pStyle w:val="19"/>
              <w:rPr>
                <w:rFonts w:cs="Times New Roman"/>
              </w:rPr>
            </w:pPr>
            <w:r>
              <w:rPr>
                <w:rFonts w:cs="Times New Roman"/>
              </w:rPr>
              <w:t>15.0</w:t>
            </w: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三</w:t>
            </w:r>
          </w:p>
        </w:tc>
        <w:tc>
          <w:tcPr>
            <w:tcW w:w="1708" w:type="pct"/>
            <w:vAlign w:val="center"/>
          </w:tcPr>
          <w:p>
            <w:pPr>
              <w:pStyle w:val="19"/>
              <w:rPr>
                <w:rFonts w:cs="Times New Roman"/>
              </w:rPr>
            </w:pPr>
            <w:r>
              <w:rPr>
                <w:rFonts w:cs="Times New Roman"/>
              </w:rPr>
              <w:t>特征水位及库容</w:t>
            </w:r>
          </w:p>
        </w:tc>
        <w:tc>
          <w:tcPr>
            <w:tcW w:w="695" w:type="pct"/>
            <w:vAlign w:val="center"/>
          </w:tcPr>
          <w:p>
            <w:pPr>
              <w:pStyle w:val="19"/>
              <w:rPr>
                <w:rFonts w:cs="Times New Roman"/>
              </w:rPr>
            </w:pPr>
          </w:p>
        </w:tc>
        <w:tc>
          <w:tcPr>
            <w:tcW w:w="1135" w:type="pct"/>
            <w:vAlign w:val="center"/>
          </w:tcPr>
          <w:p>
            <w:pPr>
              <w:pStyle w:val="19"/>
              <w:rPr>
                <w:rFonts w:cs="Times New Roman"/>
              </w:rPr>
            </w:pP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1</w:t>
            </w:r>
          </w:p>
        </w:tc>
        <w:tc>
          <w:tcPr>
            <w:tcW w:w="1708" w:type="pct"/>
            <w:vAlign w:val="center"/>
          </w:tcPr>
          <w:p>
            <w:pPr>
              <w:pStyle w:val="19"/>
              <w:rPr>
                <w:rFonts w:cs="Times New Roman"/>
              </w:rPr>
            </w:pPr>
            <w:r>
              <w:rPr>
                <w:rFonts w:cs="Times New Roman"/>
              </w:rPr>
              <w:t>设计洪峰流量</w:t>
            </w:r>
          </w:p>
        </w:tc>
        <w:tc>
          <w:tcPr>
            <w:tcW w:w="695" w:type="pct"/>
            <w:vAlign w:val="center"/>
          </w:tcPr>
          <w:p>
            <w:pPr>
              <w:pStyle w:val="19"/>
              <w:rPr>
                <w:rFonts w:cs="Times New Roman"/>
              </w:rPr>
            </w:pPr>
            <w:r>
              <w:rPr>
                <w:rFonts w:cs="Times New Roman"/>
              </w:rPr>
              <w:t>m³/s</w:t>
            </w:r>
          </w:p>
        </w:tc>
        <w:tc>
          <w:tcPr>
            <w:tcW w:w="1135" w:type="pct"/>
            <w:vAlign w:val="center"/>
          </w:tcPr>
          <w:p>
            <w:pPr>
              <w:pStyle w:val="19"/>
              <w:rPr>
                <w:rFonts w:cs="Times New Roman"/>
              </w:rPr>
            </w:pPr>
            <w:r>
              <w:rPr>
                <w:rFonts w:cs="Times New Roman"/>
              </w:rPr>
              <w:t>315</w:t>
            </w:r>
          </w:p>
        </w:tc>
        <w:tc>
          <w:tcPr>
            <w:tcW w:w="910" w:type="pct"/>
            <w:vAlign w:val="center"/>
          </w:tcPr>
          <w:p>
            <w:pPr>
              <w:pStyle w:val="19"/>
              <w:rPr>
                <w:rFonts w:cs="Times New Roman"/>
              </w:rPr>
            </w:pPr>
            <w:r>
              <w:rPr>
                <w:rFonts w:cs="Times New Roman"/>
              </w:rPr>
              <w:t>P=2%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2</w:t>
            </w:r>
          </w:p>
        </w:tc>
        <w:tc>
          <w:tcPr>
            <w:tcW w:w="1708" w:type="pct"/>
            <w:vAlign w:val="center"/>
          </w:tcPr>
          <w:p>
            <w:pPr>
              <w:pStyle w:val="19"/>
              <w:rPr>
                <w:rFonts w:cs="Times New Roman"/>
              </w:rPr>
            </w:pPr>
            <w:r>
              <w:rPr>
                <w:rFonts w:cs="Times New Roman"/>
              </w:rPr>
              <w:t>校核洪峰流量</w:t>
            </w:r>
          </w:p>
        </w:tc>
        <w:tc>
          <w:tcPr>
            <w:tcW w:w="695" w:type="pct"/>
            <w:vAlign w:val="center"/>
          </w:tcPr>
          <w:p>
            <w:pPr>
              <w:pStyle w:val="19"/>
              <w:rPr>
                <w:rFonts w:cs="Times New Roman"/>
              </w:rPr>
            </w:pPr>
            <w:r>
              <w:rPr>
                <w:rFonts w:cs="Times New Roman"/>
              </w:rPr>
              <w:t>m³/s</w:t>
            </w:r>
          </w:p>
        </w:tc>
        <w:tc>
          <w:tcPr>
            <w:tcW w:w="1135" w:type="pct"/>
            <w:vAlign w:val="center"/>
          </w:tcPr>
          <w:p>
            <w:pPr>
              <w:pStyle w:val="19"/>
              <w:rPr>
                <w:rFonts w:cs="Times New Roman"/>
              </w:rPr>
            </w:pPr>
            <w:r>
              <w:rPr>
                <w:rFonts w:cs="Times New Roman"/>
              </w:rPr>
              <w:t>489</w:t>
            </w:r>
          </w:p>
        </w:tc>
        <w:tc>
          <w:tcPr>
            <w:tcW w:w="910" w:type="pct"/>
            <w:vAlign w:val="center"/>
          </w:tcPr>
          <w:p>
            <w:pPr>
              <w:pStyle w:val="19"/>
              <w:rPr>
                <w:rFonts w:cs="Times New Roman"/>
              </w:rPr>
            </w:pPr>
            <w:r>
              <w:rPr>
                <w:rFonts w:cs="Times New Roman"/>
              </w:rPr>
              <w:t>P＝0.2%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3</w:t>
            </w:r>
          </w:p>
        </w:tc>
        <w:tc>
          <w:tcPr>
            <w:tcW w:w="1708" w:type="pct"/>
            <w:vAlign w:val="center"/>
          </w:tcPr>
          <w:p>
            <w:pPr>
              <w:pStyle w:val="19"/>
              <w:rPr>
                <w:rFonts w:cs="Times New Roman"/>
              </w:rPr>
            </w:pPr>
            <w:r>
              <w:rPr>
                <w:rFonts w:cs="Times New Roman"/>
              </w:rPr>
              <w:t>设计洪水位</w:t>
            </w:r>
          </w:p>
        </w:tc>
        <w:tc>
          <w:tcPr>
            <w:tcW w:w="695" w:type="pct"/>
            <w:vAlign w:val="center"/>
          </w:tcPr>
          <w:p>
            <w:pPr>
              <w:pStyle w:val="19"/>
              <w:rPr>
                <w:rFonts w:cs="Times New Roman"/>
              </w:rPr>
            </w:pPr>
            <w:r>
              <w:rPr>
                <w:rFonts w:cs="Times New Roman"/>
              </w:rPr>
              <w:t>m</w:t>
            </w:r>
          </w:p>
        </w:tc>
        <w:tc>
          <w:tcPr>
            <w:tcW w:w="1135" w:type="pct"/>
            <w:vAlign w:val="center"/>
          </w:tcPr>
          <w:p>
            <w:pPr>
              <w:pStyle w:val="19"/>
              <w:rPr>
                <w:rFonts w:cs="Times New Roman"/>
              </w:rPr>
            </w:pPr>
            <w:r>
              <w:rPr>
                <w:rFonts w:cs="Times New Roman"/>
              </w:rPr>
              <w:t>272.65</w:t>
            </w:r>
          </w:p>
        </w:tc>
        <w:tc>
          <w:tcPr>
            <w:tcW w:w="910" w:type="pct"/>
            <w:vAlign w:val="center"/>
          </w:tcPr>
          <w:p>
            <w:pPr>
              <w:pStyle w:val="19"/>
              <w:rPr>
                <w:rFonts w:cs="Times New Roman"/>
              </w:rPr>
            </w:pPr>
            <w:r>
              <w:rPr>
                <w:rFonts w:cs="Times New Roman"/>
              </w:rPr>
              <w:t>P=2%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4</w:t>
            </w:r>
          </w:p>
        </w:tc>
        <w:tc>
          <w:tcPr>
            <w:tcW w:w="1708" w:type="pct"/>
            <w:vAlign w:val="center"/>
          </w:tcPr>
          <w:p>
            <w:pPr>
              <w:pStyle w:val="19"/>
              <w:rPr>
                <w:rFonts w:cs="Times New Roman"/>
              </w:rPr>
            </w:pPr>
            <w:r>
              <w:rPr>
                <w:rFonts w:cs="Times New Roman"/>
              </w:rPr>
              <w:t>校核洪水位</w:t>
            </w:r>
          </w:p>
        </w:tc>
        <w:tc>
          <w:tcPr>
            <w:tcW w:w="695" w:type="pct"/>
            <w:vAlign w:val="center"/>
          </w:tcPr>
          <w:p>
            <w:pPr>
              <w:pStyle w:val="19"/>
              <w:rPr>
                <w:rFonts w:cs="Times New Roman"/>
              </w:rPr>
            </w:pPr>
            <w:r>
              <w:rPr>
                <w:rFonts w:cs="Times New Roman"/>
              </w:rPr>
              <w:t>m</w:t>
            </w:r>
          </w:p>
        </w:tc>
        <w:tc>
          <w:tcPr>
            <w:tcW w:w="1135" w:type="pct"/>
            <w:vAlign w:val="center"/>
          </w:tcPr>
          <w:p>
            <w:pPr>
              <w:pStyle w:val="19"/>
              <w:rPr>
                <w:rFonts w:cs="Times New Roman"/>
              </w:rPr>
            </w:pPr>
            <w:r>
              <w:rPr>
                <w:rFonts w:cs="Times New Roman"/>
              </w:rPr>
              <w:t>273.43</w:t>
            </w:r>
          </w:p>
        </w:tc>
        <w:tc>
          <w:tcPr>
            <w:tcW w:w="910" w:type="pct"/>
            <w:vAlign w:val="center"/>
          </w:tcPr>
          <w:p>
            <w:pPr>
              <w:pStyle w:val="19"/>
              <w:rPr>
                <w:rFonts w:cs="Times New Roman"/>
              </w:rPr>
            </w:pPr>
            <w:r>
              <w:rPr>
                <w:rFonts w:cs="Times New Roman"/>
              </w:rPr>
              <w:t>P＝0.2%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5</w:t>
            </w:r>
          </w:p>
        </w:tc>
        <w:tc>
          <w:tcPr>
            <w:tcW w:w="1708" w:type="pct"/>
            <w:vAlign w:val="center"/>
          </w:tcPr>
          <w:p>
            <w:pPr>
              <w:pStyle w:val="19"/>
              <w:rPr>
                <w:rFonts w:cs="Times New Roman"/>
              </w:rPr>
            </w:pPr>
            <w:r>
              <w:rPr>
                <w:rFonts w:cs="Times New Roman"/>
              </w:rPr>
              <w:t>正常水位</w:t>
            </w:r>
          </w:p>
        </w:tc>
        <w:tc>
          <w:tcPr>
            <w:tcW w:w="695" w:type="pct"/>
            <w:vAlign w:val="center"/>
          </w:tcPr>
          <w:p>
            <w:pPr>
              <w:pStyle w:val="19"/>
              <w:rPr>
                <w:rFonts w:cs="Times New Roman"/>
              </w:rPr>
            </w:pPr>
            <w:r>
              <w:rPr>
                <w:rFonts w:cs="Times New Roman"/>
              </w:rPr>
              <w:t>m</w:t>
            </w:r>
          </w:p>
        </w:tc>
        <w:tc>
          <w:tcPr>
            <w:tcW w:w="1135" w:type="pct"/>
            <w:vAlign w:val="center"/>
          </w:tcPr>
          <w:p>
            <w:pPr>
              <w:pStyle w:val="19"/>
              <w:rPr>
                <w:rFonts w:cs="Times New Roman"/>
              </w:rPr>
            </w:pPr>
            <w:r>
              <w:rPr>
                <w:rFonts w:cs="Times New Roman"/>
              </w:rPr>
              <w:t>270.36</w:t>
            </w: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6</w:t>
            </w:r>
          </w:p>
        </w:tc>
        <w:tc>
          <w:tcPr>
            <w:tcW w:w="1708" w:type="pct"/>
            <w:vAlign w:val="center"/>
          </w:tcPr>
          <w:p>
            <w:pPr>
              <w:pStyle w:val="19"/>
              <w:rPr>
                <w:rFonts w:cs="Times New Roman"/>
              </w:rPr>
            </w:pPr>
            <w:r>
              <w:rPr>
                <w:rFonts w:cs="Times New Roman"/>
              </w:rPr>
              <w:t>总库容</w:t>
            </w:r>
          </w:p>
        </w:tc>
        <w:tc>
          <w:tcPr>
            <w:tcW w:w="695" w:type="pct"/>
            <w:vAlign w:val="center"/>
          </w:tcPr>
          <w:p>
            <w:pPr>
              <w:pStyle w:val="19"/>
              <w:rPr>
                <w:rFonts w:cs="Times New Roman"/>
              </w:rPr>
            </w:pPr>
            <w:r>
              <w:rPr>
                <w:rFonts w:cs="Times New Roman"/>
              </w:rPr>
              <w:t>万m³</w:t>
            </w:r>
          </w:p>
        </w:tc>
        <w:tc>
          <w:tcPr>
            <w:tcW w:w="1135" w:type="pct"/>
            <w:vAlign w:val="center"/>
          </w:tcPr>
          <w:p>
            <w:pPr>
              <w:pStyle w:val="19"/>
              <w:rPr>
                <w:rFonts w:cs="Times New Roman"/>
              </w:rPr>
            </w:pPr>
            <w:r>
              <w:rPr>
                <w:rFonts w:cs="Times New Roman"/>
              </w:rPr>
              <w:t>285</w:t>
            </w: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7</w:t>
            </w:r>
          </w:p>
        </w:tc>
        <w:tc>
          <w:tcPr>
            <w:tcW w:w="1708" w:type="pct"/>
            <w:vAlign w:val="center"/>
          </w:tcPr>
          <w:p>
            <w:pPr>
              <w:pStyle w:val="19"/>
              <w:rPr>
                <w:rFonts w:cs="Times New Roman"/>
              </w:rPr>
            </w:pPr>
            <w:r>
              <w:rPr>
                <w:rFonts w:cs="Times New Roman"/>
              </w:rPr>
              <w:t>设计下泄洪水流量</w:t>
            </w:r>
          </w:p>
        </w:tc>
        <w:tc>
          <w:tcPr>
            <w:tcW w:w="695" w:type="pct"/>
            <w:vAlign w:val="center"/>
          </w:tcPr>
          <w:p>
            <w:pPr>
              <w:pStyle w:val="19"/>
              <w:rPr>
                <w:rFonts w:cs="Times New Roman"/>
              </w:rPr>
            </w:pPr>
            <w:r>
              <w:rPr>
                <w:rFonts w:cs="Times New Roman"/>
              </w:rPr>
              <w:t>m³/s</w:t>
            </w:r>
          </w:p>
        </w:tc>
        <w:tc>
          <w:tcPr>
            <w:tcW w:w="1135" w:type="pct"/>
            <w:vAlign w:val="center"/>
          </w:tcPr>
          <w:p>
            <w:pPr>
              <w:pStyle w:val="19"/>
              <w:rPr>
                <w:rFonts w:cs="Times New Roman"/>
              </w:rPr>
            </w:pPr>
            <w:r>
              <w:rPr>
                <w:rFonts w:cs="Times New Roman"/>
              </w:rPr>
              <w:t>280</w:t>
            </w:r>
          </w:p>
        </w:tc>
        <w:tc>
          <w:tcPr>
            <w:tcW w:w="910" w:type="pct"/>
            <w:vAlign w:val="center"/>
          </w:tcPr>
          <w:p>
            <w:pPr>
              <w:pStyle w:val="19"/>
              <w:rPr>
                <w:rFonts w:cs="Times New Roman"/>
              </w:rPr>
            </w:pPr>
            <w:r>
              <w:rPr>
                <w:rFonts w:cs="Times New Roman"/>
              </w:rPr>
              <w:t>P=2%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8</w:t>
            </w:r>
          </w:p>
        </w:tc>
        <w:tc>
          <w:tcPr>
            <w:tcW w:w="1708" w:type="pct"/>
            <w:vAlign w:val="center"/>
          </w:tcPr>
          <w:p>
            <w:pPr>
              <w:pStyle w:val="19"/>
              <w:rPr>
                <w:rFonts w:cs="Times New Roman"/>
              </w:rPr>
            </w:pPr>
            <w:r>
              <w:rPr>
                <w:rFonts w:cs="Times New Roman"/>
              </w:rPr>
              <w:t>校核下泄洪水流量</w:t>
            </w:r>
          </w:p>
        </w:tc>
        <w:tc>
          <w:tcPr>
            <w:tcW w:w="695" w:type="pct"/>
            <w:vAlign w:val="center"/>
          </w:tcPr>
          <w:p>
            <w:pPr>
              <w:pStyle w:val="19"/>
              <w:rPr>
                <w:rFonts w:cs="Times New Roman"/>
              </w:rPr>
            </w:pPr>
            <w:r>
              <w:rPr>
                <w:rFonts w:cs="Times New Roman"/>
              </w:rPr>
              <w:t>m³/s</w:t>
            </w:r>
          </w:p>
        </w:tc>
        <w:tc>
          <w:tcPr>
            <w:tcW w:w="1135" w:type="pct"/>
            <w:vAlign w:val="center"/>
          </w:tcPr>
          <w:p>
            <w:pPr>
              <w:pStyle w:val="19"/>
              <w:rPr>
                <w:rFonts w:cs="Times New Roman"/>
              </w:rPr>
            </w:pPr>
            <w:r>
              <w:rPr>
                <w:rFonts w:cs="Times New Roman"/>
              </w:rPr>
              <w:t>433</w:t>
            </w:r>
          </w:p>
        </w:tc>
        <w:tc>
          <w:tcPr>
            <w:tcW w:w="910" w:type="pct"/>
            <w:vAlign w:val="center"/>
          </w:tcPr>
          <w:p>
            <w:pPr>
              <w:pStyle w:val="19"/>
              <w:rPr>
                <w:rFonts w:cs="Times New Roman"/>
              </w:rPr>
            </w:pPr>
            <w:r>
              <w:rPr>
                <w:rFonts w:cs="Times New Roman"/>
              </w:rPr>
              <w:t>P＝0.2%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四</w:t>
            </w:r>
          </w:p>
        </w:tc>
        <w:tc>
          <w:tcPr>
            <w:tcW w:w="1708" w:type="pct"/>
            <w:vAlign w:val="center"/>
          </w:tcPr>
          <w:p>
            <w:pPr>
              <w:pStyle w:val="19"/>
              <w:rPr>
                <w:rFonts w:cs="Times New Roman"/>
              </w:rPr>
            </w:pPr>
            <w:r>
              <w:rPr>
                <w:rFonts w:cs="Times New Roman"/>
              </w:rPr>
              <w:t>大坝工程</w:t>
            </w:r>
          </w:p>
        </w:tc>
        <w:tc>
          <w:tcPr>
            <w:tcW w:w="695" w:type="pct"/>
            <w:vAlign w:val="center"/>
          </w:tcPr>
          <w:p>
            <w:pPr>
              <w:pStyle w:val="19"/>
              <w:rPr>
                <w:rFonts w:cs="Times New Roman"/>
              </w:rPr>
            </w:pPr>
          </w:p>
        </w:tc>
        <w:tc>
          <w:tcPr>
            <w:tcW w:w="1135" w:type="pct"/>
            <w:vAlign w:val="center"/>
          </w:tcPr>
          <w:p>
            <w:pPr>
              <w:pStyle w:val="19"/>
              <w:rPr>
                <w:rFonts w:cs="Times New Roman"/>
              </w:rPr>
            </w:pP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1</w:t>
            </w:r>
          </w:p>
        </w:tc>
        <w:tc>
          <w:tcPr>
            <w:tcW w:w="1708" w:type="pct"/>
            <w:vAlign w:val="center"/>
          </w:tcPr>
          <w:p>
            <w:pPr>
              <w:pStyle w:val="19"/>
              <w:rPr>
                <w:rFonts w:cs="Times New Roman"/>
              </w:rPr>
            </w:pPr>
            <w:r>
              <w:rPr>
                <w:rFonts w:cs="Times New Roman"/>
              </w:rPr>
              <w:t>坝型</w:t>
            </w:r>
          </w:p>
        </w:tc>
        <w:tc>
          <w:tcPr>
            <w:tcW w:w="695" w:type="pct"/>
            <w:vAlign w:val="center"/>
          </w:tcPr>
          <w:p>
            <w:pPr>
              <w:pStyle w:val="19"/>
              <w:rPr>
                <w:rFonts w:cs="Times New Roman"/>
              </w:rPr>
            </w:pPr>
          </w:p>
        </w:tc>
        <w:tc>
          <w:tcPr>
            <w:tcW w:w="1135" w:type="pct"/>
            <w:vAlign w:val="center"/>
          </w:tcPr>
          <w:p>
            <w:pPr>
              <w:pStyle w:val="19"/>
              <w:rPr>
                <w:rFonts w:cs="Times New Roman"/>
              </w:rPr>
            </w:pPr>
            <w:r>
              <w:rPr>
                <w:rFonts w:cs="Times New Roman"/>
              </w:rPr>
              <w:t>浆砌石拱坝</w:t>
            </w: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2</w:t>
            </w:r>
          </w:p>
        </w:tc>
        <w:tc>
          <w:tcPr>
            <w:tcW w:w="1708" w:type="pct"/>
            <w:vAlign w:val="center"/>
          </w:tcPr>
          <w:p>
            <w:pPr>
              <w:pStyle w:val="19"/>
              <w:rPr>
                <w:rFonts w:cs="Times New Roman"/>
              </w:rPr>
            </w:pPr>
            <w:r>
              <w:rPr>
                <w:rFonts w:cs="Times New Roman"/>
              </w:rPr>
              <w:t>坝顶总长</w:t>
            </w:r>
          </w:p>
        </w:tc>
        <w:tc>
          <w:tcPr>
            <w:tcW w:w="695" w:type="pct"/>
            <w:vAlign w:val="center"/>
          </w:tcPr>
          <w:p>
            <w:pPr>
              <w:pStyle w:val="19"/>
              <w:rPr>
                <w:rFonts w:cs="Times New Roman"/>
              </w:rPr>
            </w:pPr>
            <w:r>
              <w:rPr>
                <w:rFonts w:cs="Times New Roman"/>
              </w:rPr>
              <w:t>m</w:t>
            </w:r>
          </w:p>
        </w:tc>
        <w:tc>
          <w:tcPr>
            <w:tcW w:w="1135" w:type="pct"/>
            <w:vAlign w:val="center"/>
          </w:tcPr>
          <w:p>
            <w:pPr>
              <w:pStyle w:val="19"/>
              <w:rPr>
                <w:rFonts w:cs="Times New Roman"/>
              </w:rPr>
            </w:pPr>
            <w:r>
              <w:rPr>
                <w:rFonts w:cs="Times New Roman"/>
              </w:rPr>
              <w:t>88.8</w:t>
            </w: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3</w:t>
            </w:r>
          </w:p>
        </w:tc>
        <w:tc>
          <w:tcPr>
            <w:tcW w:w="1708" w:type="pct"/>
            <w:vAlign w:val="center"/>
          </w:tcPr>
          <w:p>
            <w:pPr>
              <w:pStyle w:val="19"/>
              <w:rPr>
                <w:rFonts w:cs="Times New Roman"/>
              </w:rPr>
            </w:pPr>
            <w:r>
              <w:rPr>
                <w:rFonts w:cs="Times New Roman"/>
              </w:rPr>
              <w:t>最大坝高</w:t>
            </w:r>
          </w:p>
        </w:tc>
        <w:tc>
          <w:tcPr>
            <w:tcW w:w="695" w:type="pct"/>
            <w:vAlign w:val="center"/>
          </w:tcPr>
          <w:p>
            <w:pPr>
              <w:pStyle w:val="19"/>
              <w:rPr>
                <w:rFonts w:cs="Times New Roman"/>
              </w:rPr>
            </w:pPr>
            <w:r>
              <w:rPr>
                <w:rFonts w:cs="Times New Roman"/>
              </w:rPr>
              <w:t>m</w:t>
            </w:r>
          </w:p>
        </w:tc>
        <w:tc>
          <w:tcPr>
            <w:tcW w:w="1135" w:type="pct"/>
            <w:vAlign w:val="center"/>
          </w:tcPr>
          <w:p>
            <w:pPr>
              <w:pStyle w:val="19"/>
              <w:rPr>
                <w:rFonts w:cs="Times New Roman"/>
              </w:rPr>
            </w:pPr>
            <w:r>
              <w:rPr>
                <w:rFonts w:cs="Times New Roman"/>
              </w:rPr>
              <w:t>18.217</w:t>
            </w: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4</w:t>
            </w:r>
          </w:p>
        </w:tc>
        <w:tc>
          <w:tcPr>
            <w:tcW w:w="1708" w:type="pct"/>
            <w:vAlign w:val="center"/>
          </w:tcPr>
          <w:p>
            <w:pPr>
              <w:pStyle w:val="19"/>
              <w:rPr>
                <w:rFonts w:cs="Times New Roman"/>
              </w:rPr>
            </w:pPr>
            <w:r>
              <w:rPr>
                <w:rFonts w:cs="Times New Roman"/>
              </w:rPr>
              <w:t>坝底宽</w:t>
            </w:r>
          </w:p>
        </w:tc>
        <w:tc>
          <w:tcPr>
            <w:tcW w:w="695" w:type="pct"/>
            <w:vAlign w:val="center"/>
          </w:tcPr>
          <w:p>
            <w:pPr>
              <w:pStyle w:val="19"/>
              <w:rPr>
                <w:rFonts w:cs="Times New Roman"/>
              </w:rPr>
            </w:pPr>
            <w:r>
              <w:rPr>
                <w:rFonts w:cs="Times New Roman"/>
              </w:rPr>
              <w:t>m</w:t>
            </w:r>
          </w:p>
        </w:tc>
        <w:tc>
          <w:tcPr>
            <w:tcW w:w="1135" w:type="pct"/>
            <w:vAlign w:val="center"/>
          </w:tcPr>
          <w:p>
            <w:pPr>
              <w:pStyle w:val="19"/>
              <w:rPr>
                <w:rFonts w:cs="Times New Roman"/>
              </w:rPr>
            </w:pPr>
            <w:r>
              <w:rPr>
                <w:rFonts w:cs="Times New Roman"/>
              </w:rPr>
              <w:t>4.5</w:t>
            </w: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5</w:t>
            </w:r>
          </w:p>
        </w:tc>
        <w:tc>
          <w:tcPr>
            <w:tcW w:w="1708" w:type="pct"/>
            <w:vAlign w:val="center"/>
          </w:tcPr>
          <w:p>
            <w:pPr>
              <w:pStyle w:val="19"/>
              <w:rPr>
                <w:rFonts w:cs="Times New Roman"/>
              </w:rPr>
            </w:pPr>
            <w:r>
              <w:rPr>
                <w:rFonts w:cs="Times New Roman"/>
              </w:rPr>
              <w:t>坝顶宽</w:t>
            </w:r>
          </w:p>
        </w:tc>
        <w:tc>
          <w:tcPr>
            <w:tcW w:w="695" w:type="pct"/>
            <w:vAlign w:val="center"/>
          </w:tcPr>
          <w:p>
            <w:pPr>
              <w:pStyle w:val="19"/>
              <w:rPr>
                <w:rFonts w:cs="Times New Roman"/>
              </w:rPr>
            </w:pPr>
            <w:r>
              <w:rPr>
                <w:rFonts w:cs="Times New Roman"/>
              </w:rPr>
              <w:t>m</w:t>
            </w:r>
          </w:p>
        </w:tc>
        <w:tc>
          <w:tcPr>
            <w:tcW w:w="1135" w:type="pct"/>
            <w:vAlign w:val="center"/>
          </w:tcPr>
          <w:p>
            <w:pPr>
              <w:pStyle w:val="19"/>
              <w:rPr>
                <w:rFonts w:cs="Times New Roman"/>
              </w:rPr>
            </w:pPr>
            <w:r>
              <w:rPr>
                <w:rFonts w:cs="Times New Roman"/>
              </w:rPr>
              <w:t>3.5</w:t>
            </w: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6</w:t>
            </w:r>
          </w:p>
        </w:tc>
        <w:tc>
          <w:tcPr>
            <w:tcW w:w="1708" w:type="pct"/>
            <w:vAlign w:val="center"/>
          </w:tcPr>
          <w:p>
            <w:pPr>
              <w:pStyle w:val="19"/>
              <w:rPr>
                <w:rFonts w:cs="Times New Roman"/>
              </w:rPr>
            </w:pPr>
            <w:r>
              <w:rPr>
                <w:rFonts w:cs="Times New Roman"/>
              </w:rPr>
              <w:t>坝顶高程</w:t>
            </w:r>
          </w:p>
        </w:tc>
        <w:tc>
          <w:tcPr>
            <w:tcW w:w="695" w:type="pct"/>
            <w:vAlign w:val="center"/>
          </w:tcPr>
          <w:p>
            <w:pPr>
              <w:pStyle w:val="19"/>
              <w:rPr>
                <w:rFonts w:cs="Times New Roman"/>
              </w:rPr>
            </w:pPr>
            <w:r>
              <w:rPr>
                <w:rFonts w:cs="Times New Roman"/>
              </w:rPr>
              <w:t>m</w:t>
            </w:r>
          </w:p>
        </w:tc>
        <w:tc>
          <w:tcPr>
            <w:tcW w:w="1135" w:type="pct"/>
            <w:vAlign w:val="center"/>
          </w:tcPr>
          <w:p>
            <w:pPr>
              <w:pStyle w:val="19"/>
              <w:rPr>
                <w:rFonts w:cs="Times New Roman"/>
              </w:rPr>
            </w:pPr>
            <w:r>
              <w:rPr>
                <w:rFonts w:cs="Times New Roman"/>
              </w:rPr>
              <w:t>273.54</w:t>
            </w: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7</w:t>
            </w:r>
          </w:p>
        </w:tc>
        <w:tc>
          <w:tcPr>
            <w:tcW w:w="1708" w:type="pct"/>
            <w:vAlign w:val="center"/>
          </w:tcPr>
          <w:p>
            <w:pPr>
              <w:pStyle w:val="19"/>
              <w:rPr>
                <w:rFonts w:cs="Times New Roman"/>
              </w:rPr>
            </w:pPr>
            <w:r>
              <w:rPr>
                <w:rFonts w:cs="Times New Roman"/>
              </w:rPr>
              <w:t>防浪墙顶高程</w:t>
            </w:r>
          </w:p>
        </w:tc>
        <w:tc>
          <w:tcPr>
            <w:tcW w:w="695" w:type="pct"/>
            <w:vAlign w:val="center"/>
          </w:tcPr>
          <w:p>
            <w:pPr>
              <w:pStyle w:val="19"/>
              <w:rPr>
                <w:rFonts w:cs="Times New Roman"/>
              </w:rPr>
            </w:pPr>
            <w:r>
              <w:rPr>
                <w:rFonts w:cs="Times New Roman"/>
              </w:rPr>
              <w:t>m</w:t>
            </w:r>
          </w:p>
        </w:tc>
        <w:tc>
          <w:tcPr>
            <w:tcW w:w="1135" w:type="pct"/>
            <w:vAlign w:val="center"/>
          </w:tcPr>
          <w:p>
            <w:pPr>
              <w:pStyle w:val="19"/>
              <w:rPr>
                <w:rFonts w:cs="Times New Roman"/>
              </w:rPr>
            </w:pPr>
            <w:r>
              <w:rPr>
                <w:rFonts w:cs="Times New Roman"/>
              </w:rPr>
              <w:t>274.74</w:t>
            </w: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五</w:t>
            </w:r>
          </w:p>
        </w:tc>
        <w:tc>
          <w:tcPr>
            <w:tcW w:w="1708" w:type="pct"/>
            <w:vAlign w:val="center"/>
          </w:tcPr>
          <w:p>
            <w:pPr>
              <w:pStyle w:val="19"/>
              <w:rPr>
                <w:rFonts w:cs="Times New Roman"/>
              </w:rPr>
            </w:pPr>
            <w:r>
              <w:rPr>
                <w:rFonts w:cs="Times New Roman"/>
              </w:rPr>
              <w:t>泄洪工程</w:t>
            </w:r>
          </w:p>
        </w:tc>
        <w:tc>
          <w:tcPr>
            <w:tcW w:w="695" w:type="pct"/>
            <w:vAlign w:val="center"/>
          </w:tcPr>
          <w:p>
            <w:pPr>
              <w:pStyle w:val="19"/>
              <w:rPr>
                <w:rFonts w:cs="Times New Roman"/>
              </w:rPr>
            </w:pPr>
          </w:p>
        </w:tc>
        <w:tc>
          <w:tcPr>
            <w:tcW w:w="1135" w:type="pct"/>
            <w:vAlign w:val="center"/>
          </w:tcPr>
          <w:p>
            <w:pPr>
              <w:pStyle w:val="19"/>
              <w:rPr>
                <w:rFonts w:cs="Times New Roman"/>
              </w:rPr>
            </w:pP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1</w:t>
            </w:r>
          </w:p>
        </w:tc>
        <w:tc>
          <w:tcPr>
            <w:tcW w:w="1708" w:type="pct"/>
            <w:vAlign w:val="center"/>
          </w:tcPr>
          <w:p>
            <w:pPr>
              <w:pStyle w:val="19"/>
              <w:rPr>
                <w:rFonts w:cs="Times New Roman"/>
              </w:rPr>
            </w:pPr>
            <w:r>
              <w:rPr>
                <w:rFonts w:cs="Times New Roman"/>
              </w:rPr>
              <w:t>堰流形式</w:t>
            </w:r>
          </w:p>
        </w:tc>
        <w:tc>
          <w:tcPr>
            <w:tcW w:w="695" w:type="pct"/>
            <w:vAlign w:val="center"/>
          </w:tcPr>
          <w:p>
            <w:pPr>
              <w:pStyle w:val="19"/>
              <w:rPr>
                <w:rFonts w:cs="Times New Roman"/>
              </w:rPr>
            </w:pPr>
          </w:p>
        </w:tc>
        <w:tc>
          <w:tcPr>
            <w:tcW w:w="1135" w:type="pct"/>
            <w:vAlign w:val="center"/>
          </w:tcPr>
          <w:p>
            <w:pPr>
              <w:pStyle w:val="19"/>
              <w:rPr>
                <w:rFonts w:cs="Times New Roman"/>
              </w:rPr>
            </w:pPr>
            <w:r>
              <w:rPr>
                <w:rFonts w:cs="Times New Roman"/>
              </w:rPr>
              <w:t>正堰开敞式WES实用堰</w:t>
            </w: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2</w:t>
            </w:r>
          </w:p>
        </w:tc>
        <w:tc>
          <w:tcPr>
            <w:tcW w:w="1708" w:type="pct"/>
            <w:vAlign w:val="center"/>
          </w:tcPr>
          <w:p>
            <w:pPr>
              <w:pStyle w:val="19"/>
              <w:rPr>
                <w:rFonts w:cs="Times New Roman"/>
              </w:rPr>
            </w:pPr>
            <w:r>
              <w:rPr>
                <w:rFonts w:cs="Times New Roman"/>
              </w:rPr>
              <w:t>溢流净宽</w:t>
            </w:r>
          </w:p>
        </w:tc>
        <w:tc>
          <w:tcPr>
            <w:tcW w:w="695" w:type="pct"/>
            <w:vAlign w:val="center"/>
          </w:tcPr>
          <w:p>
            <w:pPr>
              <w:pStyle w:val="19"/>
              <w:rPr>
                <w:rFonts w:cs="Times New Roman"/>
              </w:rPr>
            </w:pPr>
            <w:r>
              <w:rPr>
                <w:rFonts w:cs="Times New Roman"/>
              </w:rPr>
              <w:t>m</w:t>
            </w:r>
          </w:p>
        </w:tc>
        <w:tc>
          <w:tcPr>
            <w:tcW w:w="1135" w:type="pct"/>
            <w:vAlign w:val="center"/>
          </w:tcPr>
          <w:p>
            <w:pPr>
              <w:pStyle w:val="19"/>
              <w:rPr>
                <w:rFonts w:cs="Times New Roman"/>
              </w:rPr>
            </w:pPr>
            <w:r>
              <w:rPr>
                <w:rFonts w:cs="Times New Roman"/>
              </w:rPr>
              <w:t>36.8</w:t>
            </w: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3</w:t>
            </w:r>
          </w:p>
        </w:tc>
        <w:tc>
          <w:tcPr>
            <w:tcW w:w="1708" w:type="pct"/>
            <w:vAlign w:val="center"/>
          </w:tcPr>
          <w:p>
            <w:pPr>
              <w:pStyle w:val="19"/>
              <w:rPr>
                <w:rFonts w:cs="Times New Roman"/>
              </w:rPr>
            </w:pPr>
            <w:r>
              <w:rPr>
                <w:rFonts w:cs="Times New Roman"/>
              </w:rPr>
              <w:t>消力形式</w:t>
            </w:r>
          </w:p>
        </w:tc>
        <w:tc>
          <w:tcPr>
            <w:tcW w:w="695" w:type="pct"/>
            <w:vAlign w:val="center"/>
          </w:tcPr>
          <w:p>
            <w:pPr>
              <w:pStyle w:val="19"/>
              <w:rPr>
                <w:rFonts w:cs="Times New Roman"/>
              </w:rPr>
            </w:pPr>
          </w:p>
        </w:tc>
        <w:tc>
          <w:tcPr>
            <w:tcW w:w="1135" w:type="pct"/>
            <w:vAlign w:val="center"/>
          </w:tcPr>
          <w:p>
            <w:pPr>
              <w:pStyle w:val="19"/>
              <w:rPr>
                <w:rFonts w:cs="Times New Roman"/>
              </w:rPr>
            </w:pPr>
            <w:r>
              <w:rPr>
                <w:rFonts w:cs="Times New Roman"/>
              </w:rPr>
              <w:t>挑流消能</w:t>
            </w: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cs="Times New Roman"/>
              </w:rPr>
              <w:t>六</w:t>
            </w:r>
          </w:p>
        </w:tc>
        <w:tc>
          <w:tcPr>
            <w:tcW w:w="1708" w:type="pct"/>
            <w:vAlign w:val="center"/>
          </w:tcPr>
          <w:p>
            <w:pPr>
              <w:pStyle w:val="19"/>
              <w:rPr>
                <w:rFonts w:cs="Times New Roman"/>
              </w:rPr>
            </w:pPr>
            <w:r>
              <w:rPr>
                <w:rFonts w:cs="Times New Roman"/>
              </w:rPr>
              <w:t>放水设施</w:t>
            </w:r>
          </w:p>
        </w:tc>
        <w:tc>
          <w:tcPr>
            <w:tcW w:w="695" w:type="pct"/>
            <w:vAlign w:val="center"/>
          </w:tcPr>
          <w:p>
            <w:pPr>
              <w:pStyle w:val="19"/>
              <w:rPr>
                <w:rFonts w:cs="Times New Roman"/>
              </w:rPr>
            </w:pPr>
          </w:p>
        </w:tc>
        <w:tc>
          <w:tcPr>
            <w:tcW w:w="1135" w:type="pct"/>
            <w:vAlign w:val="center"/>
          </w:tcPr>
          <w:p>
            <w:pPr>
              <w:pStyle w:val="19"/>
              <w:rPr>
                <w:rFonts w:cs="Times New Roman"/>
              </w:rPr>
            </w:pP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hint="eastAsia" w:cs="Times New Roman"/>
              </w:rPr>
              <w:t>1</w:t>
            </w:r>
          </w:p>
        </w:tc>
        <w:tc>
          <w:tcPr>
            <w:tcW w:w="1708" w:type="pct"/>
            <w:vAlign w:val="center"/>
          </w:tcPr>
          <w:p>
            <w:pPr>
              <w:pStyle w:val="19"/>
              <w:rPr>
                <w:rFonts w:cs="Times New Roman"/>
              </w:rPr>
            </w:pPr>
            <w:r>
              <w:rPr>
                <w:rFonts w:cs="Times New Roman"/>
              </w:rPr>
              <w:t>隧洞断面尺寸</w:t>
            </w:r>
          </w:p>
        </w:tc>
        <w:tc>
          <w:tcPr>
            <w:tcW w:w="695" w:type="pct"/>
            <w:vAlign w:val="center"/>
          </w:tcPr>
          <w:p>
            <w:pPr>
              <w:pStyle w:val="19"/>
              <w:rPr>
                <w:rFonts w:cs="Times New Roman"/>
              </w:rPr>
            </w:pPr>
            <w:r>
              <w:rPr>
                <w:rFonts w:cs="Times New Roman"/>
              </w:rPr>
              <w:t>m</w:t>
            </w:r>
          </w:p>
        </w:tc>
        <w:tc>
          <w:tcPr>
            <w:tcW w:w="1135" w:type="pct"/>
            <w:vAlign w:val="center"/>
          </w:tcPr>
          <w:p>
            <w:pPr>
              <w:pStyle w:val="19"/>
              <w:rPr>
                <w:rFonts w:cs="Times New Roman"/>
              </w:rPr>
            </w:pPr>
            <w:r>
              <w:rPr>
                <w:rFonts w:cs="Times New Roman"/>
              </w:rPr>
              <w:t>2.0m×2.0m，R=1.0m</w:t>
            </w: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hint="eastAsia" w:cs="Times New Roman"/>
              </w:rPr>
              <w:t>2</w:t>
            </w:r>
          </w:p>
        </w:tc>
        <w:tc>
          <w:tcPr>
            <w:tcW w:w="1708" w:type="pct"/>
            <w:vAlign w:val="center"/>
          </w:tcPr>
          <w:p>
            <w:pPr>
              <w:pStyle w:val="19"/>
              <w:rPr>
                <w:rFonts w:cs="Times New Roman"/>
              </w:rPr>
            </w:pPr>
            <w:r>
              <w:rPr>
                <w:rFonts w:cs="Times New Roman"/>
              </w:rPr>
              <w:t>闸门断面尺寸</w:t>
            </w:r>
          </w:p>
        </w:tc>
        <w:tc>
          <w:tcPr>
            <w:tcW w:w="695" w:type="pct"/>
            <w:vAlign w:val="center"/>
          </w:tcPr>
          <w:p>
            <w:pPr>
              <w:pStyle w:val="19"/>
              <w:rPr>
                <w:rFonts w:cs="Times New Roman"/>
              </w:rPr>
            </w:pPr>
            <w:r>
              <w:rPr>
                <w:rFonts w:cs="Times New Roman"/>
              </w:rPr>
              <w:t>m</w:t>
            </w:r>
          </w:p>
        </w:tc>
        <w:tc>
          <w:tcPr>
            <w:tcW w:w="1135" w:type="pct"/>
            <w:vAlign w:val="center"/>
          </w:tcPr>
          <w:p>
            <w:pPr>
              <w:pStyle w:val="19"/>
              <w:rPr>
                <w:rFonts w:cs="Times New Roman"/>
              </w:rPr>
            </w:pPr>
            <w:r>
              <w:rPr>
                <w:rFonts w:cs="Times New Roman"/>
              </w:rPr>
              <w:t>1.3m×1.8m</w:t>
            </w:r>
          </w:p>
        </w:tc>
        <w:tc>
          <w:tcPr>
            <w:tcW w:w="910" w:type="pct"/>
            <w:vAlign w:val="center"/>
          </w:tcPr>
          <w:p>
            <w:pPr>
              <w:pStyle w:val="19"/>
              <w:rPr>
                <w:rFonts w:cs="Times New Roman"/>
              </w:rPr>
            </w:pPr>
            <w:r>
              <w:rPr>
                <w:rFonts w:cs="Times New Roman"/>
              </w:rPr>
              <w:t>宽×高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49" w:type="pct"/>
            <w:vAlign w:val="center"/>
          </w:tcPr>
          <w:p>
            <w:pPr>
              <w:pStyle w:val="19"/>
              <w:rPr>
                <w:rFonts w:cs="Times New Roman"/>
              </w:rPr>
            </w:pPr>
            <w:r>
              <w:rPr>
                <w:rFonts w:hint="eastAsia" w:cs="Times New Roman"/>
              </w:rPr>
              <w:t>3</w:t>
            </w:r>
          </w:p>
        </w:tc>
        <w:tc>
          <w:tcPr>
            <w:tcW w:w="1708" w:type="pct"/>
            <w:vAlign w:val="center"/>
          </w:tcPr>
          <w:p>
            <w:pPr>
              <w:pStyle w:val="19"/>
              <w:rPr>
                <w:rFonts w:cs="Times New Roman"/>
              </w:rPr>
            </w:pPr>
            <w:r>
              <w:rPr>
                <w:rFonts w:cs="Times New Roman"/>
              </w:rPr>
              <w:t>最大放水流量</w:t>
            </w:r>
          </w:p>
        </w:tc>
        <w:tc>
          <w:tcPr>
            <w:tcW w:w="695" w:type="pct"/>
            <w:vAlign w:val="center"/>
          </w:tcPr>
          <w:p>
            <w:pPr>
              <w:pStyle w:val="19"/>
              <w:rPr>
                <w:rFonts w:cs="Times New Roman"/>
              </w:rPr>
            </w:pPr>
            <w:r>
              <w:rPr>
                <w:rFonts w:cs="Times New Roman"/>
              </w:rPr>
              <w:t>m³/s</w:t>
            </w:r>
          </w:p>
        </w:tc>
        <w:tc>
          <w:tcPr>
            <w:tcW w:w="1135" w:type="pct"/>
            <w:vAlign w:val="center"/>
          </w:tcPr>
          <w:p>
            <w:pPr>
              <w:pStyle w:val="19"/>
              <w:rPr>
                <w:rFonts w:cs="Times New Roman"/>
              </w:rPr>
            </w:pPr>
            <w:r>
              <w:rPr>
                <w:rFonts w:hint="eastAsia" w:cs="Times New Roman"/>
              </w:rPr>
              <w:t>1.58</w:t>
            </w:r>
          </w:p>
        </w:tc>
        <w:tc>
          <w:tcPr>
            <w:tcW w:w="910" w:type="pct"/>
            <w:vAlign w:val="center"/>
          </w:tcPr>
          <w:p>
            <w:pPr>
              <w:pStyle w:val="19"/>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5"/>
            <w:vAlign w:val="center"/>
          </w:tcPr>
          <w:p>
            <w:pPr>
              <w:pStyle w:val="19"/>
              <w:jc w:val="left"/>
              <w:rPr>
                <w:rFonts w:cs="Times New Roman"/>
              </w:rPr>
            </w:pPr>
            <w:r>
              <w:rPr>
                <w:rFonts w:cs="Times New Roman"/>
              </w:rPr>
              <w:t>注：本次高程系统沿用原设计假定高程系统，低于1985国家高程系统相差0.196m。</w:t>
            </w:r>
          </w:p>
        </w:tc>
      </w:tr>
    </w:tbl>
    <w:p>
      <w:pPr>
        <w:ind w:firstLine="480"/>
      </w:pPr>
    </w:p>
    <w:p>
      <w:pPr>
        <w:ind w:firstLine="480"/>
        <w:sectPr>
          <w:pgSz w:w="11905" w:h="16838"/>
          <w:pgMar w:top="1417" w:right="1502" w:bottom="1417" w:left="1502" w:header="850" w:footer="992" w:gutter="0"/>
          <w:cols w:space="0" w:num="1"/>
          <w:docGrid w:linePitch="312" w:charSpace="0"/>
        </w:sectPr>
      </w:pPr>
    </w:p>
    <w:p>
      <w:pPr>
        <w:pStyle w:val="3"/>
        <w:spacing w:before="120" w:after="120"/>
        <w:jc w:val="center"/>
      </w:pPr>
      <w:bookmarkStart w:id="88" w:name="_Toc26808"/>
      <w:bookmarkStart w:id="89" w:name="_Toc16435"/>
      <w:bookmarkStart w:id="90" w:name="_Toc389230747"/>
      <w:bookmarkStart w:id="91" w:name="_Toc372628273"/>
      <w:bookmarkStart w:id="92" w:name="_Toc30155"/>
      <w:r>
        <w:t>附件2  工农水库</w:t>
      </w:r>
      <w:r>
        <w:rPr>
          <w:rFonts w:hint="eastAsia"/>
        </w:rPr>
        <w:t>大坝</w:t>
      </w:r>
      <w:r>
        <w:t>枢纽平面布置图</w:t>
      </w:r>
      <w:bookmarkEnd w:id="88"/>
      <w:bookmarkEnd w:id="89"/>
      <w:bookmarkEnd w:id="90"/>
      <w:bookmarkEnd w:id="91"/>
      <w:bookmarkEnd w:id="92"/>
    </w:p>
    <w:p>
      <w:pPr>
        <w:spacing w:before="120" w:beforeLines="50" w:line="240" w:lineRule="auto"/>
        <w:ind w:firstLine="0" w:firstLineChars="0"/>
        <w:jc w:val="center"/>
      </w:pPr>
      <w:bookmarkStart w:id="93" w:name="_Toc372628274"/>
      <w:r>
        <w:drawing>
          <wp:inline distT="0" distB="0" distL="114300" distR="114300">
            <wp:extent cx="6965950" cy="5149850"/>
            <wp:effectExtent l="0" t="0" r="6350" b="12700"/>
            <wp:docPr id="8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 name="图片 12"/>
                    <pic:cNvPicPr>
                      <a:picLocks noChangeAspect="true"/>
                    </pic:cNvPicPr>
                  </pic:nvPicPr>
                  <pic:blipFill>
                    <a:blip r:embed="rId29"/>
                    <a:stretch>
                      <a:fillRect/>
                    </a:stretch>
                  </pic:blipFill>
                  <pic:spPr>
                    <a:xfrm>
                      <a:off x="0" y="0"/>
                      <a:ext cx="6965950" cy="5149850"/>
                    </a:xfrm>
                    <a:prstGeom prst="rect">
                      <a:avLst/>
                    </a:prstGeom>
                    <a:noFill/>
                    <a:ln>
                      <a:noFill/>
                    </a:ln>
                  </pic:spPr>
                </pic:pic>
              </a:graphicData>
            </a:graphic>
          </wp:inline>
        </w:drawing>
      </w:r>
    </w:p>
    <w:p>
      <w:pPr>
        <w:pStyle w:val="3"/>
        <w:spacing w:before="120" w:after="120"/>
        <w:jc w:val="center"/>
        <w:rPr>
          <w:sz w:val="28"/>
          <w:szCs w:val="28"/>
        </w:rPr>
      </w:pPr>
      <w:r>
        <w:br w:type="page"/>
      </w:r>
      <w:bookmarkStart w:id="94" w:name="_Toc13651"/>
      <w:bookmarkStart w:id="95" w:name="_Toc389230748"/>
      <w:bookmarkStart w:id="96" w:name="_Toc10175"/>
      <w:bookmarkStart w:id="97" w:name="_Toc3949"/>
      <w:r>
        <w:rPr>
          <w:sz w:val="28"/>
          <w:szCs w:val="28"/>
        </w:rPr>
        <w:t xml:space="preserve">附件3 </w:t>
      </w:r>
      <w:bookmarkEnd w:id="93"/>
      <w:bookmarkEnd w:id="94"/>
      <w:bookmarkEnd w:id="95"/>
      <w:r>
        <w:rPr>
          <w:sz w:val="28"/>
          <w:szCs w:val="28"/>
        </w:rPr>
        <w:t xml:space="preserve"> 工农水库</w:t>
      </w:r>
      <w:r>
        <w:rPr>
          <w:rFonts w:hint="eastAsia"/>
          <w:sz w:val="28"/>
          <w:szCs w:val="28"/>
        </w:rPr>
        <w:t>大坝上游立视</w:t>
      </w:r>
      <w:r>
        <w:rPr>
          <w:sz w:val="28"/>
          <w:szCs w:val="28"/>
        </w:rPr>
        <w:t>图</w:t>
      </w:r>
      <w:bookmarkEnd w:id="96"/>
      <w:bookmarkEnd w:id="97"/>
    </w:p>
    <w:p>
      <w:pPr>
        <w:spacing w:before="120" w:beforeLines="50" w:line="240" w:lineRule="auto"/>
        <w:ind w:firstLine="0" w:firstLineChars="0"/>
        <w:jc w:val="center"/>
      </w:pPr>
      <w:r>
        <w:drawing>
          <wp:inline distT="0" distB="0" distL="114300" distR="114300">
            <wp:extent cx="6965950" cy="5149850"/>
            <wp:effectExtent l="0" t="0" r="6350" b="12700"/>
            <wp:docPr id="8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图片 13"/>
                    <pic:cNvPicPr>
                      <a:picLocks noChangeAspect="true"/>
                    </pic:cNvPicPr>
                  </pic:nvPicPr>
                  <pic:blipFill>
                    <a:blip r:embed="rId30"/>
                    <a:stretch>
                      <a:fillRect/>
                    </a:stretch>
                  </pic:blipFill>
                  <pic:spPr>
                    <a:xfrm>
                      <a:off x="0" y="0"/>
                      <a:ext cx="6965950" cy="5149850"/>
                    </a:xfrm>
                    <a:prstGeom prst="rect">
                      <a:avLst/>
                    </a:prstGeom>
                    <a:noFill/>
                    <a:ln>
                      <a:noFill/>
                    </a:ln>
                  </pic:spPr>
                </pic:pic>
              </a:graphicData>
            </a:graphic>
          </wp:inline>
        </w:drawing>
      </w:r>
    </w:p>
    <w:p>
      <w:pPr>
        <w:pStyle w:val="3"/>
        <w:spacing w:before="120" w:after="120"/>
        <w:jc w:val="center"/>
        <w:rPr>
          <w:sz w:val="28"/>
          <w:szCs w:val="28"/>
        </w:rPr>
      </w:pPr>
      <w:bookmarkStart w:id="98" w:name="_Toc6737"/>
      <w:r>
        <w:br w:type="page"/>
      </w:r>
      <w:bookmarkEnd w:id="98"/>
      <w:bookmarkStart w:id="99" w:name="_Toc389230749"/>
      <w:bookmarkStart w:id="100" w:name="_Toc27980"/>
      <w:bookmarkStart w:id="101" w:name="_Toc20751"/>
      <w:bookmarkStart w:id="102" w:name="_Toc2786"/>
      <w:r>
        <w:rPr>
          <w:sz w:val="28"/>
          <w:szCs w:val="28"/>
        </w:rPr>
        <w:t xml:space="preserve">附件4 </w:t>
      </w:r>
      <w:bookmarkEnd w:id="99"/>
      <w:r>
        <w:rPr>
          <w:sz w:val="28"/>
          <w:szCs w:val="28"/>
        </w:rPr>
        <w:t xml:space="preserve"> 工农水库</w:t>
      </w:r>
      <w:r>
        <w:rPr>
          <w:rFonts w:hint="eastAsia"/>
          <w:sz w:val="28"/>
          <w:szCs w:val="28"/>
        </w:rPr>
        <w:t>溢流坝段断面</w:t>
      </w:r>
      <w:r>
        <w:rPr>
          <w:sz w:val="28"/>
          <w:szCs w:val="28"/>
        </w:rPr>
        <w:t>图</w:t>
      </w:r>
      <w:bookmarkEnd w:id="100"/>
      <w:bookmarkEnd w:id="101"/>
      <w:bookmarkEnd w:id="102"/>
    </w:p>
    <w:p>
      <w:pPr>
        <w:spacing w:line="240" w:lineRule="auto"/>
        <w:ind w:firstLine="0" w:firstLineChars="0"/>
        <w:jc w:val="center"/>
      </w:pPr>
      <w:r>
        <w:drawing>
          <wp:inline distT="0" distB="0" distL="114300" distR="114300">
            <wp:extent cx="6965950" cy="5149850"/>
            <wp:effectExtent l="0" t="0" r="6350" b="12700"/>
            <wp:docPr id="8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 name="图片 14"/>
                    <pic:cNvPicPr>
                      <a:picLocks noChangeAspect="true"/>
                    </pic:cNvPicPr>
                  </pic:nvPicPr>
                  <pic:blipFill>
                    <a:blip r:embed="rId31"/>
                    <a:stretch>
                      <a:fillRect/>
                    </a:stretch>
                  </pic:blipFill>
                  <pic:spPr>
                    <a:xfrm>
                      <a:off x="0" y="0"/>
                      <a:ext cx="6965950" cy="5149850"/>
                    </a:xfrm>
                    <a:prstGeom prst="rect">
                      <a:avLst/>
                    </a:prstGeom>
                    <a:noFill/>
                    <a:ln>
                      <a:noFill/>
                    </a:ln>
                  </pic:spPr>
                </pic:pic>
              </a:graphicData>
            </a:graphic>
          </wp:inline>
        </w:drawing>
      </w:r>
    </w:p>
    <w:p>
      <w:pPr>
        <w:spacing w:before="120" w:beforeLines="50" w:line="240" w:lineRule="auto"/>
        <w:ind w:firstLine="0" w:firstLineChars="0"/>
        <w:jc w:val="center"/>
        <w:sectPr>
          <w:pgSz w:w="16838" w:h="11905" w:orient="landscape"/>
          <w:pgMar w:top="1502" w:right="1417" w:bottom="1502" w:left="1417" w:header="850" w:footer="992" w:gutter="0"/>
          <w:cols w:space="0" w:num="1"/>
          <w:docGrid w:linePitch="312" w:charSpace="0"/>
        </w:sectPr>
      </w:pPr>
    </w:p>
    <w:p>
      <w:pPr>
        <w:pStyle w:val="3"/>
        <w:spacing w:before="120" w:after="120"/>
        <w:jc w:val="center"/>
        <w:rPr>
          <w:sz w:val="28"/>
          <w:szCs w:val="28"/>
        </w:rPr>
      </w:pPr>
      <w:bookmarkStart w:id="103" w:name="_Toc389230750"/>
      <w:bookmarkStart w:id="104" w:name="_Toc22648"/>
      <w:bookmarkStart w:id="105" w:name="_Toc26729"/>
      <w:bookmarkStart w:id="106" w:name="_Toc372628275"/>
      <w:bookmarkStart w:id="107" w:name="_Toc22070"/>
      <w:r>
        <w:rPr>
          <w:sz w:val="28"/>
          <w:szCs w:val="28"/>
        </w:rPr>
        <w:t>附件5  工农水库水位～库容曲线</w:t>
      </w:r>
      <w:bookmarkEnd w:id="103"/>
      <w:bookmarkEnd w:id="104"/>
      <w:bookmarkEnd w:id="105"/>
      <w:bookmarkEnd w:id="106"/>
      <w:bookmarkEnd w:id="107"/>
    </w:p>
    <w:p>
      <w:pPr>
        <w:spacing w:line="240" w:lineRule="auto"/>
        <w:ind w:firstLine="0" w:firstLineChars="0"/>
        <w:jc w:val="center"/>
      </w:pPr>
      <w:r>
        <w:drawing>
          <wp:inline distT="0" distB="0" distL="114300" distR="114300">
            <wp:extent cx="4800600" cy="2895600"/>
            <wp:effectExtent l="4445" t="4445" r="14605" b="14605"/>
            <wp:docPr id="85" name="图片 15"/>
            <wp:cNvGraphicFramePr>
              <a:graphicFrameLocks xmlns:a="http://schemas.openxmlformats.org/drawingml/2006/main" noChangeAspect="true"/>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3"/>
        <w:spacing w:before="120" w:after="120" w:line="600" w:lineRule="exact"/>
        <w:jc w:val="center"/>
        <w:rPr>
          <w:bCs w:val="0"/>
        </w:rPr>
      </w:pPr>
      <w:bookmarkStart w:id="108" w:name="_Toc8367"/>
      <w:bookmarkStart w:id="109" w:name="_Toc389230751"/>
      <w:bookmarkStart w:id="110" w:name="_Toc17352"/>
      <w:bookmarkStart w:id="111" w:name="_Toc27925"/>
      <w:r>
        <w:rPr>
          <w:bCs w:val="0"/>
        </w:rPr>
        <w:t>附件6  工农水库泄流曲线</w:t>
      </w:r>
      <w:bookmarkEnd w:id="108"/>
      <w:bookmarkEnd w:id="109"/>
      <w:bookmarkEnd w:id="110"/>
      <w:bookmarkEnd w:id="111"/>
    </w:p>
    <w:p>
      <w:pPr>
        <w:spacing w:line="240" w:lineRule="auto"/>
        <w:ind w:firstLine="0" w:firstLineChars="0"/>
        <w:jc w:val="center"/>
      </w:pPr>
      <w:r>
        <w:drawing>
          <wp:inline distT="0" distB="0" distL="114300" distR="114300">
            <wp:extent cx="4800600" cy="2895600"/>
            <wp:effectExtent l="4445" t="4445" r="14605" b="14605"/>
            <wp:docPr id="86" name="图片 16"/>
            <wp:cNvGraphicFramePr>
              <a:graphicFrameLocks xmlns:a="http://schemas.openxmlformats.org/drawingml/2006/main" noChangeAspect="true"/>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ind w:firstLine="480"/>
      </w:pPr>
    </w:p>
    <w:p>
      <w:pPr>
        <w:spacing w:line="240" w:lineRule="auto"/>
        <w:ind w:firstLine="0" w:firstLineChars="0"/>
        <w:jc w:val="center"/>
      </w:pPr>
    </w:p>
    <w:p>
      <w:pPr>
        <w:ind w:firstLine="480"/>
      </w:pPr>
    </w:p>
    <w:p>
      <w:pPr>
        <w:ind w:firstLine="480"/>
        <w:sectPr>
          <w:pgSz w:w="11905" w:h="16838"/>
          <w:pgMar w:top="1417" w:right="1502" w:bottom="1417" w:left="1502" w:header="850" w:footer="992" w:gutter="0"/>
          <w:cols w:space="0" w:num="1"/>
          <w:docGrid w:linePitch="312" w:charSpace="0"/>
        </w:sectPr>
      </w:pPr>
    </w:p>
    <w:p>
      <w:pPr>
        <w:pStyle w:val="3"/>
        <w:spacing w:before="120" w:after="120" w:line="240" w:lineRule="auto"/>
        <w:jc w:val="center"/>
        <w:rPr>
          <w:bCs w:val="0"/>
        </w:rPr>
      </w:pPr>
      <w:bookmarkStart w:id="112" w:name="_Toc28037"/>
      <w:bookmarkStart w:id="113" w:name="_Toc23804"/>
      <w:bookmarkStart w:id="114" w:name="_Toc2510"/>
      <w:bookmarkStart w:id="115" w:name="_Toc23527"/>
      <w:bookmarkStart w:id="116" w:name="_Toc18037"/>
      <w:bookmarkStart w:id="117" w:name="_Toc389230752"/>
      <w:r>
        <w:rPr>
          <w:bCs w:val="0"/>
        </w:rPr>
        <w:t>附件</w:t>
      </w:r>
      <w:r>
        <w:rPr>
          <w:rFonts w:hint="eastAsia"/>
          <w:bCs w:val="0"/>
        </w:rPr>
        <w:t>7</w:t>
      </w:r>
      <w:r>
        <w:rPr>
          <w:bCs w:val="0"/>
        </w:rPr>
        <w:t xml:space="preserve">  </w:t>
      </w:r>
      <w:r>
        <w:t>工农</w:t>
      </w:r>
      <w:r>
        <w:rPr>
          <w:bCs w:val="0"/>
        </w:rPr>
        <w:t>水库险情以及抢险情况报告表</w:t>
      </w:r>
      <w:bookmarkEnd w:id="112"/>
      <w:bookmarkEnd w:id="113"/>
      <w:bookmarkEnd w:id="114"/>
    </w:p>
    <w:tbl>
      <w:tblPr>
        <w:tblStyle w:val="10"/>
        <w:tblW w:w="4999"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2275"/>
        <w:gridCol w:w="2277"/>
        <w:gridCol w:w="2275"/>
        <w:gridCol w:w="2288"/>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8" w:type="pct"/>
            <w:vAlign w:val="center"/>
          </w:tcPr>
          <w:p>
            <w:pPr>
              <w:pStyle w:val="19"/>
              <w:rPr>
                <w:rFonts w:cs="Times New Roman"/>
              </w:rPr>
            </w:pPr>
            <w:r>
              <w:rPr>
                <w:rFonts w:cs="Times New Roman"/>
              </w:rPr>
              <w:t>报告单位</w:t>
            </w:r>
          </w:p>
        </w:tc>
        <w:tc>
          <w:tcPr>
            <w:tcW w:w="1248" w:type="pct"/>
            <w:vAlign w:val="center"/>
          </w:tcPr>
          <w:p>
            <w:pPr>
              <w:pStyle w:val="19"/>
              <w:rPr>
                <w:rFonts w:cs="Times New Roman"/>
              </w:rPr>
            </w:pPr>
          </w:p>
        </w:tc>
        <w:tc>
          <w:tcPr>
            <w:tcW w:w="1248" w:type="pct"/>
            <w:vAlign w:val="center"/>
          </w:tcPr>
          <w:p>
            <w:pPr>
              <w:pStyle w:val="19"/>
              <w:rPr>
                <w:rFonts w:cs="Times New Roman"/>
              </w:rPr>
            </w:pPr>
            <w:r>
              <w:rPr>
                <w:rFonts w:cs="Times New Roman"/>
              </w:rPr>
              <w:t>报送人</w:t>
            </w:r>
          </w:p>
        </w:tc>
        <w:tc>
          <w:tcPr>
            <w:tcW w:w="1253" w:type="pct"/>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8" w:type="pct"/>
            <w:vAlign w:val="center"/>
          </w:tcPr>
          <w:p>
            <w:pPr>
              <w:pStyle w:val="19"/>
              <w:rPr>
                <w:rFonts w:cs="Times New Roman"/>
              </w:rPr>
            </w:pPr>
            <w:r>
              <w:rPr>
                <w:rFonts w:cs="Times New Roman"/>
              </w:rPr>
              <w:t>出险单位</w:t>
            </w:r>
          </w:p>
        </w:tc>
        <w:tc>
          <w:tcPr>
            <w:tcW w:w="1248" w:type="pct"/>
            <w:vAlign w:val="center"/>
          </w:tcPr>
          <w:p>
            <w:pPr>
              <w:pStyle w:val="19"/>
              <w:rPr>
                <w:rFonts w:cs="Times New Roman"/>
              </w:rPr>
            </w:pPr>
          </w:p>
        </w:tc>
        <w:tc>
          <w:tcPr>
            <w:tcW w:w="1248" w:type="pct"/>
            <w:vAlign w:val="center"/>
          </w:tcPr>
          <w:p>
            <w:pPr>
              <w:pStyle w:val="19"/>
              <w:rPr>
                <w:rFonts w:cs="Times New Roman"/>
              </w:rPr>
            </w:pPr>
            <w:r>
              <w:rPr>
                <w:rFonts w:cs="Times New Roman"/>
              </w:rPr>
              <w:t>报送时间</w:t>
            </w:r>
          </w:p>
        </w:tc>
        <w:tc>
          <w:tcPr>
            <w:tcW w:w="1253" w:type="pct"/>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97" w:type="pct"/>
            <w:gridSpan w:val="2"/>
            <w:vAlign w:val="center"/>
          </w:tcPr>
          <w:p>
            <w:pPr>
              <w:pStyle w:val="19"/>
              <w:rPr>
                <w:rFonts w:cs="Times New Roman"/>
              </w:rPr>
            </w:pPr>
            <w:r>
              <w:rPr>
                <w:rFonts w:cs="Times New Roman"/>
              </w:rPr>
              <w:t>险情发生时间</w:t>
            </w:r>
          </w:p>
        </w:tc>
        <w:tc>
          <w:tcPr>
            <w:tcW w:w="2502" w:type="pct"/>
            <w:gridSpan w:val="2"/>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Pr>
          <w:p>
            <w:pPr>
              <w:pStyle w:val="19"/>
              <w:jc w:val="both"/>
              <w:rPr>
                <w:rFonts w:cs="Times New Roman"/>
              </w:rPr>
            </w:pPr>
            <w:r>
              <w:rPr>
                <w:rFonts w:cs="Times New Roman"/>
              </w:rPr>
              <w:t>险情介绍：</w:t>
            </w: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Pr>
          <w:p>
            <w:pPr>
              <w:pStyle w:val="19"/>
              <w:jc w:val="both"/>
              <w:rPr>
                <w:rFonts w:cs="Times New Roman"/>
              </w:rPr>
            </w:pPr>
            <w:r>
              <w:rPr>
                <w:rFonts w:cs="Times New Roman"/>
              </w:rPr>
              <w:t>处理办法：</w:t>
            </w: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Pr>
          <w:p>
            <w:pPr>
              <w:pStyle w:val="19"/>
              <w:jc w:val="both"/>
              <w:rPr>
                <w:rFonts w:cs="Times New Roman"/>
              </w:rPr>
            </w:pPr>
            <w:r>
              <w:rPr>
                <w:rFonts w:cs="Times New Roman"/>
              </w:rPr>
              <w:t>备注：</w:t>
            </w: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p>
            <w:pPr>
              <w:pStyle w:val="19"/>
              <w:jc w:val="both"/>
              <w:rPr>
                <w:rFonts w:cs="Times New Roman"/>
              </w:rPr>
            </w:pPr>
          </w:p>
        </w:tc>
      </w:tr>
    </w:tbl>
    <w:p>
      <w:pPr>
        <w:ind w:firstLine="480"/>
        <w:sectPr>
          <w:pgSz w:w="11905" w:h="16838"/>
          <w:pgMar w:top="1417" w:right="1502" w:bottom="1417" w:left="1502" w:header="850" w:footer="992" w:gutter="0"/>
          <w:cols w:space="0" w:num="1"/>
          <w:docGrid w:linePitch="435" w:charSpace="0"/>
        </w:sectPr>
      </w:pPr>
    </w:p>
    <w:p>
      <w:pPr>
        <w:pStyle w:val="3"/>
        <w:spacing w:before="120" w:after="120" w:line="240" w:lineRule="auto"/>
        <w:jc w:val="center"/>
      </w:pPr>
      <w:bookmarkStart w:id="118" w:name="_Toc21321"/>
      <w:r>
        <w:t>附件</w:t>
      </w:r>
      <w:r>
        <w:rPr>
          <w:rFonts w:hint="eastAsia"/>
        </w:rPr>
        <w:t>8</w:t>
      </w:r>
      <w:r>
        <w:t xml:space="preserve">  工农水库地理位置及主要交通路线图</w:t>
      </w:r>
      <w:bookmarkEnd w:id="118"/>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rPr>
          <w:rFonts w:hint="eastAsia"/>
        </w:rPr>
      </w:pPr>
    </w:p>
    <w:p>
      <w:pPr>
        <w:ind w:firstLine="480"/>
        <w:rPr>
          <w:rFonts w:hint="eastAsia"/>
        </w:rPr>
      </w:pPr>
    </w:p>
    <w:p>
      <w:pPr>
        <w:ind w:firstLine="480"/>
        <w:rPr>
          <w:rFonts w:hint="eastAsia"/>
        </w:rPr>
      </w:pPr>
    </w:p>
    <w:p>
      <w:pPr>
        <w:ind w:firstLine="480"/>
      </w:pPr>
    </w:p>
    <w:p>
      <w:pPr>
        <w:pStyle w:val="3"/>
        <w:spacing w:before="120" w:after="120" w:line="240" w:lineRule="auto"/>
        <w:jc w:val="center"/>
      </w:pPr>
      <w:bookmarkStart w:id="119" w:name="_Toc18912"/>
      <w:r>
        <w:t>附件</w:t>
      </w:r>
      <w:r>
        <w:rPr>
          <w:rFonts w:hint="eastAsia"/>
        </w:rPr>
        <w:t>9</w:t>
      </w:r>
      <w:r>
        <w:t xml:space="preserve">  工农水库下游重要城镇、集中居民点、重要交通干线位置图</w:t>
      </w:r>
      <w:bookmarkEnd w:id="115"/>
      <w:bookmarkEnd w:id="116"/>
      <w:bookmarkEnd w:id="117"/>
      <w:bookmarkEnd w:id="119"/>
      <w:bookmarkStart w:id="120" w:name="_Toc26582"/>
      <w:bookmarkStart w:id="121" w:name="_Toc389230754"/>
      <w:bookmarkStart w:id="122" w:name="_Toc8456"/>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pStyle w:val="3"/>
        <w:spacing w:before="120" w:after="120"/>
        <w:jc w:val="center"/>
        <w:rPr>
          <w:sz w:val="28"/>
          <w:szCs w:val="28"/>
        </w:rPr>
      </w:pPr>
      <w:bookmarkStart w:id="123" w:name="_Toc15351"/>
      <w:r>
        <w:rPr>
          <w:sz w:val="28"/>
          <w:szCs w:val="28"/>
        </w:rPr>
        <w:t>附件10  工农水库</w:t>
      </w:r>
      <w:r>
        <w:rPr>
          <w:rFonts w:hint="eastAsia"/>
          <w:sz w:val="28"/>
          <w:szCs w:val="28"/>
        </w:rPr>
        <w:t>一般</w:t>
      </w:r>
      <w:r>
        <w:rPr>
          <w:sz w:val="28"/>
          <w:szCs w:val="28"/>
        </w:rPr>
        <w:t>洪水淹没风险区及应急转移路线示意图</w:t>
      </w:r>
      <w:bookmarkEnd w:id="123"/>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pStyle w:val="3"/>
        <w:spacing w:before="120" w:after="120"/>
        <w:jc w:val="center"/>
      </w:pPr>
      <w:bookmarkStart w:id="124" w:name="_Toc14161"/>
      <w:r>
        <w:rPr>
          <w:sz w:val="28"/>
          <w:szCs w:val="28"/>
        </w:rPr>
        <w:t>附件</w:t>
      </w:r>
      <w:r>
        <w:rPr>
          <w:rFonts w:hint="eastAsia"/>
          <w:sz w:val="28"/>
          <w:szCs w:val="28"/>
        </w:rPr>
        <w:t>11</w:t>
      </w:r>
      <w:r>
        <w:rPr>
          <w:sz w:val="28"/>
          <w:szCs w:val="28"/>
        </w:rPr>
        <w:t xml:space="preserve">  工农水库</w:t>
      </w:r>
      <w:r>
        <w:rPr>
          <w:rFonts w:hint="eastAsia"/>
          <w:sz w:val="28"/>
          <w:szCs w:val="28"/>
        </w:rPr>
        <w:t>溃坝</w:t>
      </w:r>
      <w:r>
        <w:rPr>
          <w:sz w:val="28"/>
          <w:szCs w:val="28"/>
        </w:rPr>
        <w:t>洪水淹没风险</w:t>
      </w:r>
      <w:r>
        <w:rPr>
          <w:rFonts w:hint="eastAsia"/>
          <w:sz w:val="28"/>
          <w:szCs w:val="28"/>
        </w:rPr>
        <w:t>区</w:t>
      </w:r>
      <w:r>
        <w:rPr>
          <w:sz w:val="28"/>
          <w:szCs w:val="28"/>
        </w:rPr>
        <w:t>及应急转移路线示意图</w:t>
      </w:r>
      <w:bookmarkEnd w:id="124"/>
    </w:p>
    <w:p>
      <w:pPr>
        <w:spacing w:line="240" w:lineRule="auto"/>
        <w:ind w:firstLine="0" w:firstLineChars="0"/>
        <w:jc w:val="center"/>
      </w:pPr>
    </w:p>
    <w:bookmarkEnd w:id="120"/>
    <w:bookmarkEnd w:id="121"/>
    <w:bookmarkEnd w:id="122"/>
    <w:p>
      <w:pPr>
        <w:spacing w:line="240" w:lineRule="auto"/>
        <w:ind w:firstLine="0" w:firstLineChars="0"/>
        <w:jc w:val="center"/>
        <w:sectPr>
          <w:pgSz w:w="11905" w:h="16838"/>
          <w:pgMar w:top="1417" w:right="1502" w:bottom="1417" w:left="1502" w:header="850" w:footer="992" w:gutter="0"/>
          <w:cols w:space="0" w:num="1"/>
          <w:docGrid w:linePitch="435" w:charSpace="0"/>
        </w:sectPr>
      </w:pPr>
    </w:p>
    <w:p>
      <w:pPr>
        <w:ind w:firstLine="480"/>
      </w:pPr>
      <w:bookmarkStart w:id="125" w:name="_Toc389230762"/>
      <w:bookmarkStart w:id="126" w:name="_Toc16315"/>
      <w:bookmarkStart w:id="127" w:name="_Toc14932"/>
    </w:p>
    <w:p>
      <w:pPr>
        <w:pStyle w:val="3"/>
        <w:spacing w:before="120" w:after="120"/>
        <w:jc w:val="center"/>
      </w:pPr>
      <w:bookmarkStart w:id="128" w:name="_Toc23394"/>
      <w:r>
        <w:t>附件1</w:t>
      </w:r>
      <w:r>
        <w:rPr>
          <w:rFonts w:hint="eastAsia"/>
        </w:rPr>
        <w:t>8</w:t>
      </w:r>
      <w:r>
        <w:t xml:space="preserve">  工农水库应急保障物资储备表</w:t>
      </w:r>
      <w:bookmarkEnd w:id="125"/>
      <w:bookmarkEnd w:id="126"/>
      <w:bookmarkEnd w:id="127"/>
      <w:bookmarkEnd w:id="128"/>
    </w:p>
    <w:tbl>
      <w:tblPr>
        <w:tblStyle w:val="10"/>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87"/>
        <w:gridCol w:w="1982"/>
        <w:gridCol w:w="1981"/>
        <w:gridCol w:w="1981"/>
        <w:gridCol w:w="198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序号</w:t>
            </w:r>
          </w:p>
        </w:tc>
        <w:tc>
          <w:tcPr>
            <w:tcW w:w="1087" w:type="pct"/>
            <w:tcBorders>
              <w:tl2br w:val="nil"/>
              <w:tr2bl w:val="nil"/>
            </w:tcBorders>
            <w:shd w:val="clear" w:color="auto" w:fill="auto"/>
            <w:noWrap/>
            <w:vAlign w:val="center"/>
          </w:tcPr>
          <w:p>
            <w:pPr>
              <w:pStyle w:val="19"/>
              <w:rPr>
                <w:rFonts w:cs="Times New Roman"/>
              </w:rPr>
            </w:pPr>
            <w:r>
              <w:rPr>
                <w:rFonts w:cs="Times New Roman"/>
              </w:rPr>
              <w:t>名称</w:t>
            </w:r>
          </w:p>
        </w:tc>
        <w:tc>
          <w:tcPr>
            <w:tcW w:w="1087" w:type="pct"/>
            <w:tcBorders>
              <w:tl2br w:val="nil"/>
              <w:tr2bl w:val="nil"/>
            </w:tcBorders>
            <w:shd w:val="clear" w:color="auto" w:fill="auto"/>
            <w:noWrap/>
            <w:vAlign w:val="center"/>
          </w:tcPr>
          <w:p>
            <w:pPr>
              <w:pStyle w:val="19"/>
              <w:rPr>
                <w:rFonts w:cs="Times New Roman"/>
              </w:rPr>
            </w:pPr>
            <w:r>
              <w:rPr>
                <w:rFonts w:cs="Times New Roman"/>
              </w:rPr>
              <w:t>单位</w:t>
            </w:r>
          </w:p>
        </w:tc>
        <w:tc>
          <w:tcPr>
            <w:tcW w:w="1087" w:type="pct"/>
            <w:tcBorders>
              <w:tl2br w:val="nil"/>
              <w:tr2bl w:val="nil"/>
            </w:tcBorders>
            <w:shd w:val="clear" w:color="auto" w:fill="auto"/>
            <w:noWrap/>
            <w:vAlign w:val="center"/>
          </w:tcPr>
          <w:p>
            <w:pPr>
              <w:pStyle w:val="19"/>
              <w:rPr>
                <w:rFonts w:cs="Times New Roman"/>
              </w:rPr>
            </w:pPr>
            <w:r>
              <w:rPr>
                <w:rFonts w:cs="Times New Roman"/>
              </w:rPr>
              <w:t>数量</w:t>
            </w:r>
          </w:p>
        </w:tc>
        <w:tc>
          <w:tcPr>
            <w:tcW w:w="1087" w:type="pct"/>
            <w:tcBorders>
              <w:tl2br w:val="nil"/>
              <w:tr2bl w:val="nil"/>
            </w:tcBorders>
            <w:shd w:val="clear" w:color="auto" w:fill="auto"/>
            <w:noWrap/>
            <w:vAlign w:val="center"/>
          </w:tcPr>
          <w:p>
            <w:pPr>
              <w:pStyle w:val="19"/>
              <w:rPr>
                <w:rFonts w:cs="Times New Roman"/>
              </w:rPr>
            </w:pPr>
            <w:r>
              <w:rPr>
                <w:rFonts w:cs="Times New Roma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w:t>
            </w:r>
          </w:p>
        </w:tc>
        <w:tc>
          <w:tcPr>
            <w:tcW w:w="1087" w:type="pct"/>
            <w:tcBorders>
              <w:tl2br w:val="nil"/>
              <w:tr2bl w:val="nil"/>
            </w:tcBorders>
            <w:shd w:val="clear" w:color="auto" w:fill="auto"/>
            <w:noWrap/>
            <w:vAlign w:val="center"/>
          </w:tcPr>
          <w:p>
            <w:pPr>
              <w:pStyle w:val="19"/>
              <w:rPr>
                <w:rFonts w:cs="Times New Roman"/>
              </w:rPr>
            </w:pPr>
            <w:r>
              <w:rPr>
                <w:rFonts w:cs="Times New Roman"/>
              </w:rPr>
              <w:t>编织袋</w:t>
            </w:r>
          </w:p>
        </w:tc>
        <w:tc>
          <w:tcPr>
            <w:tcW w:w="1087" w:type="pct"/>
            <w:tcBorders>
              <w:tl2br w:val="nil"/>
              <w:tr2bl w:val="nil"/>
            </w:tcBorders>
            <w:shd w:val="clear" w:color="auto" w:fill="auto"/>
            <w:noWrap/>
            <w:vAlign w:val="center"/>
          </w:tcPr>
          <w:p>
            <w:pPr>
              <w:pStyle w:val="19"/>
              <w:rPr>
                <w:rFonts w:cs="Times New Roman"/>
              </w:rPr>
            </w:pPr>
            <w:r>
              <w:rPr>
                <w:rFonts w:cs="Times New Roman"/>
              </w:rPr>
              <w:t>条</w:t>
            </w:r>
          </w:p>
        </w:tc>
        <w:tc>
          <w:tcPr>
            <w:tcW w:w="1087" w:type="pct"/>
            <w:tcBorders>
              <w:tl2br w:val="nil"/>
              <w:tr2bl w:val="nil"/>
            </w:tcBorders>
            <w:shd w:val="clear" w:color="auto" w:fill="auto"/>
            <w:noWrap/>
            <w:vAlign w:val="center"/>
          </w:tcPr>
          <w:p>
            <w:pPr>
              <w:pStyle w:val="19"/>
              <w:rPr>
                <w:rFonts w:cs="Times New Roman"/>
              </w:rPr>
            </w:pPr>
            <w:r>
              <w:rPr>
                <w:rFonts w:cs="Times New Roman"/>
              </w:rPr>
              <w:t>2000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r>
              <w:rPr>
                <w:rFonts w:cs="Times New Roman"/>
              </w:rPr>
              <w:t>铁丝</w:t>
            </w:r>
          </w:p>
        </w:tc>
        <w:tc>
          <w:tcPr>
            <w:tcW w:w="1087" w:type="pct"/>
            <w:tcBorders>
              <w:tl2br w:val="nil"/>
              <w:tr2bl w:val="nil"/>
            </w:tcBorders>
            <w:shd w:val="clear" w:color="auto" w:fill="auto"/>
            <w:noWrap/>
            <w:vAlign w:val="center"/>
          </w:tcPr>
          <w:p>
            <w:pPr>
              <w:pStyle w:val="19"/>
              <w:rPr>
                <w:rFonts w:cs="Times New Roman"/>
              </w:rPr>
            </w:pPr>
            <w:r>
              <w:rPr>
                <w:rFonts w:cs="Times New Roman"/>
              </w:rPr>
              <w:t>圈</w:t>
            </w:r>
          </w:p>
        </w:tc>
        <w:tc>
          <w:tcPr>
            <w:tcW w:w="1087" w:type="pct"/>
            <w:tcBorders>
              <w:tl2br w:val="nil"/>
              <w:tr2bl w:val="nil"/>
            </w:tcBorders>
            <w:shd w:val="clear" w:color="auto" w:fill="auto"/>
            <w:noWrap/>
            <w:vAlign w:val="center"/>
          </w:tcPr>
          <w:p>
            <w:pPr>
              <w:pStyle w:val="19"/>
              <w:rPr>
                <w:rFonts w:cs="Times New Roman"/>
              </w:rPr>
            </w:pPr>
            <w:r>
              <w:rPr>
                <w:rFonts w:cs="Times New Roman"/>
              </w:rPr>
              <w:t>23</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w:t>
            </w:r>
          </w:p>
        </w:tc>
        <w:tc>
          <w:tcPr>
            <w:tcW w:w="1087" w:type="pct"/>
            <w:tcBorders>
              <w:tl2br w:val="nil"/>
              <w:tr2bl w:val="nil"/>
            </w:tcBorders>
            <w:shd w:val="clear" w:color="auto" w:fill="auto"/>
            <w:noWrap/>
            <w:vAlign w:val="center"/>
          </w:tcPr>
          <w:p>
            <w:pPr>
              <w:pStyle w:val="19"/>
              <w:rPr>
                <w:rFonts w:cs="Times New Roman"/>
              </w:rPr>
            </w:pPr>
            <w:r>
              <w:rPr>
                <w:rFonts w:cs="Times New Roman"/>
              </w:rPr>
              <w:t>桩木</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29</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4</w:t>
            </w:r>
          </w:p>
        </w:tc>
        <w:tc>
          <w:tcPr>
            <w:tcW w:w="1087" w:type="pct"/>
            <w:tcBorders>
              <w:tl2br w:val="nil"/>
              <w:tr2bl w:val="nil"/>
            </w:tcBorders>
            <w:shd w:val="clear" w:color="auto" w:fill="auto"/>
            <w:noWrap/>
            <w:vAlign w:val="center"/>
          </w:tcPr>
          <w:p>
            <w:pPr>
              <w:pStyle w:val="19"/>
              <w:rPr>
                <w:rFonts w:cs="Times New Roman"/>
              </w:rPr>
            </w:pPr>
            <w:r>
              <w:rPr>
                <w:rFonts w:cs="Times New Roman"/>
              </w:rPr>
              <w:t>斧头</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25</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5</w:t>
            </w:r>
          </w:p>
        </w:tc>
        <w:tc>
          <w:tcPr>
            <w:tcW w:w="1087" w:type="pct"/>
            <w:tcBorders>
              <w:tl2br w:val="nil"/>
              <w:tr2bl w:val="nil"/>
            </w:tcBorders>
            <w:shd w:val="clear" w:color="auto" w:fill="auto"/>
            <w:noWrap/>
            <w:vAlign w:val="center"/>
          </w:tcPr>
          <w:p>
            <w:pPr>
              <w:pStyle w:val="19"/>
              <w:rPr>
                <w:rFonts w:cs="Times New Roman"/>
              </w:rPr>
            </w:pPr>
            <w:r>
              <w:rPr>
                <w:rFonts w:cs="Times New Roman"/>
              </w:rPr>
              <w:t>铁锹</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64</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6</w:t>
            </w:r>
          </w:p>
        </w:tc>
        <w:tc>
          <w:tcPr>
            <w:tcW w:w="1087" w:type="pct"/>
            <w:tcBorders>
              <w:tl2br w:val="nil"/>
              <w:tr2bl w:val="nil"/>
            </w:tcBorders>
            <w:shd w:val="clear" w:color="auto" w:fill="auto"/>
            <w:noWrap/>
            <w:vAlign w:val="center"/>
          </w:tcPr>
          <w:p>
            <w:pPr>
              <w:pStyle w:val="19"/>
              <w:rPr>
                <w:rFonts w:cs="Times New Roman"/>
              </w:rPr>
            </w:pPr>
            <w:r>
              <w:rPr>
                <w:rFonts w:cs="Times New Roman"/>
              </w:rPr>
              <w:t>铁锤</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34</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7</w:t>
            </w:r>
          </w:p>
        </w:tc>
        <w:tc>
          <w:tcPr>
            <w:tcW w:w="1087" w:type="pct"/>
            <w:tcBorders>
              <w:tl2br w:val="nil"/>
              <w:tr2bl w:val="nil"/>
            </w:tcBorders>
            <w:shd w:val="clear" w:color="auto" w:fill="auto"/>
            <w:noWrap/>
            <w:vAlign w:val="center"/>
          </w:tcPr>
          <w:p>
            <w:pPr>
              <w:pStyle w:val="19"/>
              <w:rPr>
                <w:rFonts w:cs="Times New Roman"/>
              </w:rPr>
            </w:pPr>
            <w:r>
              <w:rPr>
                <w:rFonts w:cs="Times New Roman"/>
              </w:rPr>
              <w:t>锄头</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67</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8</w:t>
            </w:r>
          </w:p>
        </w:tc>
        <w:tc>
          <w:tcPr>
            <w:tcW w:w="1087" w:type="pct"/>
            <w:tcBorders>
              <w:tl2br w:val="nil"/>
              <w:tr2bl w:val="nil"/>
            </w:tcBorders>
            <w:shd w:val="clear" w:color="auto" w:fill="auto"/>
            <w:noWrap/>
            <w:vAlign w:val="center"/>
          </w:tcPr>
          <w:p>
            <w:pPr>
              <w:pStyle w:val="19"/>
              <w:rPr>
                <w:rFonts w:cs="Times New Roman"/>
              </w:rPr>
            </w:pPr>
            <w:r>
              <w:rPr>
                <w:rFonts w:cs="Times New Roman"/>
              </w:rPr>
              <w:t>雨靴</w:t>
            </w:r>
          </w:p>
        </w:tc>
        <w:tc>
          <w:tcPr>
            <w:tcW w:w="1087" w:type="pct"/>
            <w:tcBorders>
              <w:tl2br w:val="nil"/>
              <w:tr2bl w:val="nil"/>
            </w:tcBorders>
            <w:shd w:val="clear" w:color="auto" w:fill="auto"/>
            <w:noWrap/>
            <w:vAlign w:val="center"/>
          </w:tcPr>
          <w:p>
            <w:pPr>
              <w:pStyle w:val="19"/>
              <w:rPr>
                <w:rFonts w:cs="Times New Roman"/>
              </w:rPr>
            </w:pPr>
            <w:r>
              <w:rPr>
                <w:rFonts w:cs="Times New Roman"/>
              </w:rPr>
              <w:t>双</w:t>
            </w:r>
          </w:p>
        </w:tc>
        <w:tc>
          <w:tcPr>
            <w:tcW w:w="1087" w:type="pct"/>
            <w:tcBorders>
              <w:tl2br w:val="nil"/>
              <w:tr2bl w:val="nil"/>
            </w:tcBorders>
            <w:shd w:val="clear" w:color="auto" w:fill="auto"/>
            <w:noWrap/>
            <w:vAlign w:val="center"/>
          </w:tcPr>
          <w:p>
            <w:pPr>
              <w:pStyle w:val="19"/>
              <w:rPr>
                <w:rFonts w:cs="Times New Roman"/>
              </w:rPr>
            </w:pPr>
            <w:r>
              <w:rPr>
                <w:rFonts w:cs="Times New Roman"/>
              </w:rPr>
              <w:t>24</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9</w:t>
            </w:r>
          </w:p>
        </w:tc>
        <w:tc>
          <w:tcPr>
            <w:tcW w:w="1087" w:type="pct"/>
            <w:tcBorders>
              <w:tl2br w:val="nil"/>
              <w:tr2bl w:val="nil"/>
            </w:tcBorders>
            <w:shd w:val="clear" w:color="auto" w:fill="auto"/>
            <w:noWrap/>
            <w:vAlign w:val="center"/>
          </w:tcPr>
          <w:p>
            <w:pPr>
              <w:pStyle w:val="19"/>
              <w:rPr>
                <w:rFonts w:cs="Times New Roman"/>
              </w:rPr>
            </w:pPr>
            <w:r>
              <w:rPr>
                <w:rFonts w:cs="Times New Roman"/>
              </w:rPr>
              <w:t>铁钎</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13</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10</w:t>
            </w:r>
          </w:p>
        </w:tc>
        <w:tc>
          <w:tcPr>
            <w:tcW w:w="1087" w:type="pct"/>
            <w:tcBorders>
              <w:tl2br w:val="nil"/>
              <w:tr2bl w:val="nil"/>
            </w:tcBorders>
            <w:shd w:val="clear" w:color="auto" w:fill="auto"/>
            <w:noWrap/>
            <w:vAlign w:val="center"/>
          </w:tcPr>
          <w:p>
            <w:pPr>
              <w:pStyle w:val="19"/>
              <w:rPr>
                <w:rFonts w:cs="Times New Roman"/>
              </w:rPr>
            </w:pPr>
            <w:r>
              <w:rPr>
                <w:rFonts w:cs="Times New Roman"/>
              </w:rPr>
              <w:t>汽油锯</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1</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11</w:t>
            </w:r>
          </w:p>
        </w:tc>
        <w:tc>
          <w:tcPr>
            <w:tcW w:w="1087" w:type="pct"/>
            <w:tcBorders>
              <w:tl2br w:val="nil"/>
              <w:tr2bl w:val="nil"/>
            </w:tcBorders>
            <w:shd w:val="clear" w:color="auto" w:fill="auto"/>
            <w:noWrap/>
            <w:vAlign w:val="center"/>
          </w:tcPr>
          <w:p>
            <w:pPr>
              <w:pStyle w:val="19"/>
              <w:rPr>
                <w:rFonts w:cs="Times New Roman"/>
              </w:rPr>
            </w:pPr>
            <w:r>
              <w:rPr>
                <w:rFonts w:cs="Times New Roman"/>
              </w:rPr>
              <w:t>救生衣</w:t>
            </w:r>
          </w:p>
        </w:tc>
        <w:tc>
          <w:tcPr>
            <w:tcW w:w="1087" w:type="pct"/>
            <w:tcBorders>
              <w:tl2br w:val="nil"/>
              <w:tr2bl w:val="nil"/>
            </w:tcBorders>
            <w:shd w:val="clear" w:color="auto" w:fill="auto"/>
            <w:noWrap/>
            <w:vAlign w:val="center"/>
          </w:tcPr>
          <w:p>
            <w:pPr>
              <w:pStyle w:val="19"/>
              <w:rPr>
                <w:rFonts w:cs="Times New Roman"/>
              </w:rPr>
            </w:pPr>
            <w:r>
              <w:rPr>
                <w:rFonts w:cs="Times New Roman"/>
              </w:rPr>
              <w:t>件</w:t>
            </w:r>
          </w:p>
        </w:tc>
        <w:tc>
          <w:tcPr>
            <w:tcW w:w="1087" w:type="pct"/>
            <w:tcBorders>
              <w:tl2br w:val="nil"/>
              <w:tr2bl w:val="nil"/>
            </w:tcBorders>
            <w:shd w:val="clear" w:color="auto" w:fill="auto"/>
            <w:noWrap/>
            <w:vAlign w:val="center"/>
          </w:tcPr>
          <w:p>
            <w:pPr>
              <w:pStyle w:val="19"/>
              <w:rPr>
                <w:rFonts w:cs="Times New Roman"/>
              </w:rPr>
            </w:pPr>
            <w:r>
              <w:rPr>
                <w:rFonts w:cs="Times New Roman"/>
              </w:rPr>
              <w:t>180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12</w:t>
            </w:r>
          </w:p>
        </w:tc>
        <w:tc>
          <w:tcPr>
            <w:tcW w:w="1087" w:type="pct"/>
            <w:tcBorders>
              <w:tl2br w:val="nil"/>
              <w:tr2bl w:val="nil"/>
            </w:tcBorders>
            <w:shd w:val="clear" w:color="auto" w:fill="auto"/>
            <w:noWrap/>
            <w:vAlign w:val="center"/>
          </w:tcPr>
          <w:p>
            <w:pPr>
              <w:pStyle w:val="19"/>
              <w:rPr>
                <w:rFonts w:cs="Times New Roman"/>
              </w:rPr>
            </w:pPr>
            <w:r>
              <w:rPr>
                <w:rFonts w:cs="Times New Roman"/>
              </w:rPr>
              <w:t>电缆</w:t>
            </w:r>
          </w:p>
        </w:tc>
        <w:tc>
          <w:tcPr>
            <w:tcW w:w="1087" w:type="pct"/>
            <w:tcBorders>
              <w:tl2br w:val="nil"/>
              <w:tr2bl w:val="nil"/>
            </w:tcBorders>
            <w:shd w:val="clear" w:color="auto" w:fill="auto"/>
            <w:noWrap/>
            <w:vAlign w:val="center"/>
          </w:tcPr>
          <w:p>
            <w:pPr>
              <w:pStyle w:val="19"/>
              <w:rPr>
                <w:rFonts w:cs="Times New Roman"/>
              </w:rPr>
            </w:pPr>
            <w:r>
              <w:rPr>
                <w:rFonts w:cs="Times New Roman"/>
              </w:rPr>
              <w:t>圈</w:t>
            </w:r>
          </w:p>
        </w:tc>
        <w:tc>
          <w:tcPr>
            <w:tcW w:w="1087" w:type="pct"/>
            <w:tcBorders>
              <w:tl2br w:val="nil"/>
              <w:tr2bl w:val="nil"/>
            </w:tcBorders>
            <w:shd w:val="clear" w:color="auto" w:fill="auto"/>
            <w:noWrap/>
            <w:vAlign w:val="center"/>
          </w:tcPr>
          <w:p>
            <w:pPr>
              <w:pStyle w:val="19"/>
              <w:rPr>
                <w:rFonts w:cs="Times New Roman"/>
              </w:rPr>
            </w:pPr>
            <w:r>
              <w:rPr>
                <w:rFonts w:cs="Times New Roman"/>
              </w:rPr>
              <w:t>4</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13</w:t>
            </w:r>
          </w:p>
        </w:tc>
        <w:tc>
          <w:tcPr>
            <w:tcW w:w="1087" w:type="pct"/>
            <w:tcBorders>
              <w:tl2br w:val="nil"/>
              <w:tr2bl w:val="nil"/>
            </w:tcBorders>
            <w:shd w:val="clear" w:color="auto" w:fill="auto"/>
            <w:noWrap/>
            <w:vAlign w:val="center"/>
          </w:tcPr>
          <w:p>
            <w:pPr>
              <w:pStyle w:val="19"/>
              <w:rPr>
                <w:rFonts w:cs="Times New Roman"/>
              </w:rPr>
            </w:pPr>
            <w:r>
              <w:rPr>
                <w:rFonts w:cs="Times New Roman"/>
              </w:rPr>
              <w:t>抬杠</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351</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14</w:t>
            </w:r>
          </w:p>
        </w:tc>
        <w:tc>
          <w:tcPr>
            <w:tcW w:w="1087" w:type="pct"/>
            <w:tcBorders>
              <w:tl2br w:val="nil"/>
              <w:tr2bl w:val="nil"/>
            </w:tcBorders>
            <w:shd w:val="clear" w:color="auto" w:fill="auto"/>
            <w:noWrap/>
            <w:vAlign w:val="center"/>
          </w:tcPr>
          <w:p>
            <w:pPr>
              <w:pStyle w:val="19"/>
              <w:rPr>
                <w:rFonts w:cs="Times New Roman"/>
              </w:rPr>
            </w:pPr>
            <w:r>
              <w:rPr>
                <w:rFonts w:cs="Times New Roman"/>
              </w:rPr>
              <w:t>橡皮艇</w:t>
            </w:r>
          </w:p>
        </w:tc>
        <w:tc>
          <w:tcPr>
            <w:tcW w:w="1087" w:type="pct"/>
            <w:tcBorders>
              <w:tl2br w:val="nil"/>
              <w:tr2bl w:val="nil"/>
            </w:tcBorders>
            <w:shd w:val="clear" w:color="auto" w:fill="auto"/>
            <w:noWrap/>
            <w:vAlign w:val="center"/>
          </w:tcPr>
          <w:p>
            <w:pPr>
              <w:pStyle w:val="19"/>
              <w:rPr>
                <w:rFonts w:cs="Times New Roman"/>
              </w:rPr>
            </w:pPr>
            <w:r>
              <w:rPr>
                <w:rFonts w:cs="Times New Roman"/>
              </w:rPr>
              <w:t>艘</w:t>
            </w:r>
          </w:p>
        </w:tc>
        <w:tc>
          <w:tcPr>
            <w:tcW w:w="1087" w:type="pct"/>
            <w:tcBorders>
              <w:tl2br w:val="nil"/>
              <w:tr2bl w:val="nil"/>
            </w:tcBorders>
            <w:shd w:val="clear" w:color="auto" w:fill="auto"/>
            <w:noWrap/>
            <w:vAlign w:val="center"/>
          </w:tcPr>
          <w:p>
            <w:pPr>
              <w:pStyle w:val="19"/>
              <w:rPr>
                <w:rFonts w:cs="Times New Roman"/>
              </w:rPr>
            </w:pPr>
            <w:r>
              <w:rPr>
                <w:rFonts w:cs="Times New Roman"/>
              </w:rPr>
              <w:t>3</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15</w:t>
            </w:r>
          </w:p>
        </w:tc>
        <w:tc>
          <w:tcPr>
            <w:tcW w:w="1087" w:type="pct"/>
            <w:tcBorders>
              <w:tl2br w:val="nil"/>
              <w:tr2bl w:val="nil"/>
            </w:tcBorders>
            <w:shd w:val="clear" w:color="auto" w:fill="auto"/>
            <w:noWrap/>
            <w:vAlign w:val="center"/>
          </w:tcPr>
          <w:p>
            <w:pPr>
              <w:pStyle w:val="19"/>
              <w:rPr>
                <w:rFonts w:cs="Times New Roman"/>
              </w:rPr>
            </w:pPr>
            <w:r>
              <w:rPr>
                <w:rFonts w:cs="Times New Roman"/>
              </w:rPr>
              <w:t>冲锋舟</w:t>
            </w:r>
          </w:p>
        </w:tc>
        <w:tc>
          <w:tcPr>
            <w:tcW w:w="1087" w:type="pct"/>
            <w:tcBorders>
              <w:tl2br w:val="nil"/>
              <w:tr2bl w:val="nil"/>
            </w:tcBorders>
            <w:shd w:val="clear" w:color="auto" w:fill="auto"/>
            <w:noWrap/>
            <w:vAlign w:val="center"/>
          </w:tcPr>
          <w:p>
            <w:pPr>
              <w:pStyle w:val="19"/>
              <w:rPr>
                <w:rFonts w:cs="Times New Roman"/>
              </w:rPr>
            </w:pPr>
            <w:r>
              <w:rPr>
                <w:rFonts w:cs="Times New Roman"/>
              </w:rPr>
              <w:t>艘</w:t>
            </w:r>
          </w:p>
        </w:tc>
        <w:tc>
          <w:tcPr>
            <w:tcW w:w="1087"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16</w:t>
            </w:r>
          </w:p>
        </w:tc>
        <w:tc>
          <w:tcPr>
            <w:tcW w:w="1087" w:type="pct"/>
            <w:tcBorders>
              <w:tl2br w:val="nil"/>
              <w:tr2bl w:val="nil"/>
            </w:tcBorders>
            <w:shd w:val="clear" w:color="auto" w:fill="auto"/>
            <w:noWrap/>
            <w:vAlign w:val="center"/>
          </w:tcPr>
          <w:p>
            <w:pPr>
              <w:pStyle w:val="19"/>
              <w:rPr>
                <w:rFonts w:cs="Times New Roman"/>
              </w:rPr>
            </w:pPr>
            <w:r>
              <w:rPr>
                <w:rFonts w:cs="Times New Roman"/>
              </w:rPr>
              <w:t>泛光灯</w:t>
            </w:r>
          </w:p>
        </w:tc>
        <w:tc>
          <w:tcPr>
            <w:tcW w:w="1087" w:type="pct"/>
            <w:tcBorders>
              <w:tl2br w:val="nil"/>
              <w:tr2bl w:val="nil"/>
            </w:tcBorders>
            <w:shd w:val="clear" w:color="auto" w:fill="auto"/>
            <w:noWrap/>
            <w:vAlign w:val="center"/>
          </w:tcPr>
          <w:p>
            <w:pPr>
              <w:pStyle w:val="19"/>
              <w:rPr>
                <w:rFonts w:cs="Times New Roman"/>
              </w:rPr>
            </w:pPr>
            <w:r>
              <w:rPr>
                <w:rFonts w:cs="Times New Roman"/>
              </w:rPr>
              <w:t>套</w:t>
            </w:r>
          </w:p>
        </w:tc>
        <w:tc>
          <w:tcPr>
            <w:tcW w:w="1087" w:type="pct"/>
            <w:tcBorders>
              <w:tl2br w:val="nil"/>
              <w:tr2bl w:val="nil"/>
            </w:tcBorders>
            <w:shd w:val="clear" w:color="auto" w:fill="auto"/>
            <w:noWrap/>
            <w:vAlign w:val="center"/>
          </w:tcPr>
          <w:p>
            <w:pPr>
              <w:pStyle w:val="19"/>
              <w:rPr>
                <w:rFonts w:cs="Times New Roman"/>
              </w:rPr>
            </w:pPr>
            <w:r>
              <w:rPr>
                <w:rFonts w:cs="Times New Roman"/>
              </w:rPr>
              <w:t>1</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17</w:t>
            </w:r>
          </w:p>
        </w:tc>
        <w:tc>
          <w:tcPr>
            <w:tcW w:w="1087" w:type="pct"/>
            <w:tcBorders>
              <w:tl2br w:val="nil"/>
              <w:tr2bl w:val="nil"/>
            </w:tcBorders>
            <w:shd w:val="clear" w:color="auto" w:fill="auto"/>
            <w:noWrap/>
            <w:vAlign w:val="center"/>
          </w:tcPr>
          <w:p>
            <w:pPr>
              <w:pStyle w:val="19"/>
              <w:rPr>
                <w:rFonts w:cs="Times New Roman"/>
              </w:rPr>
            </w:pPr>
            <w:r>
              <w:rPr>
                <w:rFonts w:cs="Times New Roman"/>
              </w:rPr>
              <w:t>汽油桶</w:t>
            </w:r>
          </w:p>
        </w:tc>
        <w:tc>
          <w:tcPr>
            <w:tcW w:w="1087" w:type="pct"/>
            <w:tcBorders>
              <w:tl2br w:val="nil"/>
              <w:tr2bl w:val="nil"/>
            </w:tcBorders>
            <w:shd w:val="clear" w:color="auto" w:fill="auto"/>
            <w:noWrap/>
            <w:vAlign w:val="center"/>
          </w:tcPr>
          <w:p>
            <w:pPr>
              <w:pStyle w:val="19"/>
              <w:rPr>
                <w:rFonts w:cs="Times New Roman"/>
              </w:rPr>
            </w:pPr>
            <w:r>
              <w:rPr>
                <w:rFonts w:cs="Times New Roman"/>
              </w:rPr>
              <w:t>个</w:t>
            </w:r>
          </w:p>
        </w:tc>
        <w:tc>
          <w:tcPr>
            <w:tcW w:w="1087"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18</w:t>
            </w:r>
          </w:p>
        </w:tc>
        <w:tc>
          <w:tcPr>
            <w:tcW w:w="1087" w:type="pct"/>
            <w:tcBorders>
              <w:tl2br w:val="nil"/>
              <w:tr2bl w:val="nil"/>
            </w:tcBorders>
            <w:shd w:val="clear" w:color="auto" w:fill="auto"/>
            <w:noWrap/>
            <w:vAlign w:val="center"/>
          </w:tcPr>
          <w:p>
            <w:pPr>
              <w:pStyle w:val="19"/>
              <w:rPr>
                <w:rFonts w:cs="Times New Roman"/>
              </w:rPr>
            </w:pPr>
            <w:r>
              <w:rPr>
                <w:rFonts w:cs="Times New Roman"/>
              </w:rPr>
              <w:t>土工布</w:t>
            </w:r>
          </w:p>
        </w:tc>
        <w:tc>
          <w:tcPr>
            <w:tcW w:w="1087" w:type="pct"/>
            <w:tcBorders>
              <w:tl2br w:val="nil"/>
              <w:tr2bl w:val="nil"/>
            </w:tcBorders>
            <w:shd w:val="clear" w:color="auto" w:fill="auto"/>
            <w:noWrap/>
            <w:vAlign w:val="center"/>
          </w:tcPr>
          <w:p>
            <w:pPr>
              <w:pStyle w:val="19"/>
              <w:rPr>
                <w:rFonts w:cs="Times New Roman"/>
              </w:rPr>
            </w:pPr>
            <w:r>
              <w:rPr>
                <w:rFonts w:cs="Times New Roman"/>
              </w:rPr>
              <w:t>平方米</w:t>
            </w:r>
          </w:p>
        </w:tc>
        <w:tc>
          <w:tcPr>
            <w:tcW w:w="1087" w:type="pct"/>
            <w:tcBorders>
              <w:tl2br w:val="nil"/>
              <w:tr2bl w:val="nil"/>
            </w:tcBorders>
            <w:shd w:val="clear" w:color="auto" w:fill="auto"/>
            <w:noWrap/>
            <w:vAlign w:val="center"/>
          </w:tcPr>
          <w:p>
            <w:pPr>
              <w:pStyle w:val="19"/>
              <w:rPr>
                <w:rFonts w:cs="Times New Roman"/>
              </w:rPr>
            </w:pPr>
            <w:r>
              <w:rPr>
                <w:rFonts w:cs="Times New Roman"/>
              </w:rPr>
              <w:t>1990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20</w:t>
            </w:r>
          </w:p>
        </w:tc>
        <w:tc>
          <w:tcPr>
            <w:tcW w:w="1087" w:type="pct"/>
            <w:tcBorders>
              <w:tl2br w:val="nil"/>
              <w:tr2bl w:val="nil"/>
            </w:tcBorders>
            <w:shd w:val="clear" w:color="auto" w:fill="auto"/>
            <w:noWrap/>
            <w:vAlign w:val="center"/>
          </w:tcPr>
          <w:p>
            <w:pPr>
              <w:pStyle w:val="19"/>
              <w:rPr>
                <w:rFonts w:cs="Times New Roman"/>
              </w:rPr>
            </w:pPr>
            <w:r>
              <w:rPr>
                <w:rFonts w:cs="Times New Roman"/>
              </w:rPr>
              <w:t>40匹马力发动机</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21</w:t>
            </w:r>
          </w:p>
        </w:tc>
        <w:tc>
          <w:tcPr>
            <w:tcW w:w="1087" w:type="pct"/>
            <w:tcBorders>
              <w:tl2br w:val="nil"/>
              <w:tr2bl w:val="nil"/>
            </w:tcBorders>
            <w:shd w:val="clear" w:color="auto" w:fill="auto"/>
            <w:noWrap/>
            <w:vAlign w:val="center"/>
          </w:tcPr>
          <w:p>
            <w:pPr>
              <w:pStyle w:val="19"/>
              <w:rPr>
                <w:rFonts w:cs="Times New Roman"/>
              </w:rPr>
            </w:pPr>
            <w:r>
              <w:rPr>
                <w:rFonts w:cs="Times New Roman"/>
              </w:rPr>
              <w:t>防滑手套</w:t>
            </w:r>
          </w:p>
        </w:tc>
        <w:tc>
          <w:tcPr>
            <w:tcW w:w="1087" w:type="pct"/>
            <w:tcBorders>
              <w:tl2br w:val="nil"/>
              <w:tr2bl w:val="nil"/>
            </w:tcBorders>
            <w:shd w:val="clear" w:color="auto" w:fill="auto"/>
            <w:noWrap/>
            <w:vAlign w:val="center"/>
          </w:tcPr>
          <w:p>
            <w:pPr>
              <w:pStyle w:val="19"/>
              <w:rPr>
                <w:rFonts w:cs="Times New Roman"/>
              </w:rPr>
            </w:pPr>
            <w:r>
              <w:rPr>
                <w:rFonts w:cs="Times New Roman"/>
              </w:rPr>
              <w:t>双</w:t>
            </w:r>
          </w:p>
        </w:tc>
        <w:tc>
          <w:tcPr>
            <w:tcW w:w="1087"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22</w:t>
            </w:r>
          </w:p>
        </w:tc>
        <w:tc>
          <w:tcPr>
            <w:tcW w:w="1087" w:type="pct"/>
            <w:tcBorders>
              <w:tl2br w:val="nil"/>
              <w:tr2bl w:val="nil"/>
            </w:tcBorders>
            <w:shd w:val="clear" w:color="auto" w:fill="auto"/>
            <w:noWrap/>
            <w:vAlign w:val="center"/>
          </w:tcPr>
          <w:p>
            <w:pPr>
              <w:pStyle w:val="19"/>
              <w:rPr>
                <w:rFonts w:cs="Times New Roman"/>
              </w:rPr>
            </w:pPr>
            <w:r>
              <w:rPr>
                <w:rFonts w:cs="Times New Roman"/>
              </w:rPr>
              <w:t>小水桶</w:t>
            </w:r>
          </w:p>
        </w:tc>
        <w:tc>
          <w:tcPr>
            <w:tcW w:w="1087" w:type="pct"/>
            <w:tcBorders>
              <w:tl2br w:val="nil"/>
              <w:tr2bl w:val="nil"/>
            </w:tcBorders>
            <w:shd w:val="clear" w:color="auto" w:fill="auto"/>
            <w:noWrap/>
            <w:vAlign w:val="center"/>
          </w:tcPr>
          <w:p>
            <w:pPr>
              <w:pStyle w:val="19"/>
              <w:rPr>
                <w:rFonts w:cs="Times New Roman"/>
              </w:rPr>
            </w:pPr>
            <w:r>
              <w:rPr>
                <w:rFonts w:cs="Times New Roman"/>
              </w:rPr>
              <w:t>个</w:t>
            </w:r>
          </w:p>
        </w:tc>
        <w:tc>
          <w:tcPr>
            <w:tcW w:w="1087" w:type="pct"/>
            <w:tcBorders>
              <w:tl2br w:val="nil"/>
              <w:tr2bl w:val="nil"/>
            </w:tcBorders>
            <w:shd w:val="clear" w:color="auto" w:fill="auto"/>
            <w:noWrap/>
            <w:vAlign w:val="center"/>
          </w:tcPr>
          <w:p>
            <w:pPr>
              <w:pStyle w:val="19"/>
              <w:rPr>
                <w:rFonts w:cs="Times New Roman"/>
              </w:rPr>
            </w:pPr>
            <w:r>
              <w:rPr>
                <w:rFonts w:cs="Times New Roman"/>
              </w:rPr>
              <w:t>5</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23</w:t>
            </w:r>
          </w:p>
        </w:tc>
        <w:tc>
          <w:tcPr>
            <w:tcW w:w="1087" w:type="pct"/>
            <w:tcBorders>
              <w:tl2br w:val="nil"/>
              <w:tr2bl w:val="nil"/>
            </w:tcBorders>
            <w:shd w:val="clear" w:color="auto" w:fill="auto"/>
            <w:noWrap/>
            <w:vAlign w:val="center"/>
          </w:tcPr>
          <w:p>
            <w:pPr>
              <w:pStyle w:val="19"/>
              <w:rPr>
                <w:rFonts w:cs="Times New Roman"/>
              </w:rPr>
            </w:pPr>
            <w:r>
              <w:rPr>
                <w:rFonts w:cs="Times New Roman"/>
              </w:rPr>
              <w:t>胶水管</w:t>
            </w:r>
          </w:p>
        </w:tc>
        <w:tc>
          <w:tcPr>
            <w:tcW w:w="1087" w:type="pct"/>
            <w:tcBorders>
              <w:tl2br w:val="nil"/>
              <w:tr2bl w:val="nil"/>
            </w:tcBorders>
            <w:shd w:val="clear" w:color="auto" w:fill="auto"/>
            <w:noWrap/>
            <w:vAlign w:val="center"/>
          </w:tcPr>
          <w:p>
            <w:pPr>
              <w:pStyle w:val="19"/>
              <w:rPr>
                <w:rFonts w:cs="Times New Roman"/>
              </w:rPr>
            </w:pPr>
            <w:r>
              <w:rPr>
                <w:rFonts w:cs="Times New Roman"/>
              </w:rPr>
              <w:t>米</w:t>
            </w:r>
          </w:p>
        </w:tc>
        <w:tc>
          <w:tcPr>
            <w:tcW w:w="1087" w:type="pct"/>
            <w:tcBorders>
              <w:tl2br w:val="nil"/>
              <w:tr2bl w:val="nil"/>
            </w:tcBorders>
            <w:shd w:val="clear" w:color="auto" w:fill="auto"/>
            <w:noWrap/>
            <w:vAlign w:val="center"/>
          </w:tcPr>
          <w:p>
            <w:pPr>
              <w:pStyle w:val="19"/>
              <w:rPr>
                <w:rFonts w:cs="Times New Roman"/>
              </w:rPr>
            </w:pPr>
            <w:r>
              <w:rPr>
                <w:rFonts w:cs="Times New Roman"/>
              </w:rPr>
              <w:t>100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24</w:t>
            </w:r>
          </w:p>
        </w:tc>
        <w:tc>
          <w:tcPr>
            <w:tcW w:w="1087" w:type="pct"/>
            <w:tcBorders>
              <w:tl2br w:val="nil"/>
              <w:tr2bl w:val="nil"/>
            </w:tcBorders>
            <w:shd w:val="clear" w:color="auto" w:fill="auto"/>
            <w:noWrap/>
            <w:vAlign w:val="center"/>
          </w:tcPr>
          <w:p>
            <w:pPr>
              <w:pStyle w:val="19"/>
              <w:rPr>
                <w:rFonts w:cs="Times New Roman"/>
              </w:rPr>
            </w:pPr>
            <w:r>
              <w:rPr>
                <w:rFonts w:cs="Times New Roman"/>
              </w:rPr>
              <w:t>布水管</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10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25</w:t>
            </w:r>
          </w:p>
        </w:tc>
        <w:tc>
          <w:tcPr>
            <w:tcW w:w="1087" w:type="pct"/>
            <w:tcBorders>
              <w:tl2br w:val="nil"/>
              <w:tr2bl w:val="nil"/>
            </w:tcBorders>
            <w:shd w:val="clear" w:color="auto" w:fill="auto"/>
            <w:noWrap/>
            <w:vAlign w:val="center"/>
          </w:tcPr>
          <w:p>
            <w:pPr>
              <w:pStyle w:val="19"/>
              <w:rPr>
                <w:rFonts w:cs="Times New Roman"/>
              </w:rPr>
            </w:pPr>
            <w:r>
              <w:rPr>
                <w:rFonts w:cs="Times New Roman"/>
              </w:rPr>
              <w:t>单项潜水泵</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3</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26</w:t>
            </w:r>
          </w:p>
        </w:tc>
        <w:tc>
          <w:tcPr>
            <w:tcW w:w="1087" w:type="pct"/>
            <w:tcBorders>
              <w:tl2br w:val="nil"/>
              <w:tr2bl w:val="nil"/>
            </w:tcBorders>
            <w:shd w:val="clear" w:color="auto" w:fill="auto"/>
            <w:noWrap/>
            <w:vAlign w:val="center"/>
          </w:tcPr>
          <w:p>
            <w:pPr>
              <w:pStyle w:val="19"/>
              <w:rPr>
                <w:rFonts w:cs="Times New Roman"/>
              </w:rPr>
            </w:pPr>
            <w:r>
              <w:rPr>
                <w:rFonts w:cs="Times New Roman"/>
              </w:rPr>
              <w:t>污水潜水泵</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2</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27</w:t>
            </w:r>
          </w:p>
        </w:tc>
        <w:tc>
          <w:tcPr>
            <w:tcW w:w="1087" w:type="pct"/>
            <w:tcBorders>
              <w:tl2br w:val="nil"/>
              <w:tr2bl w:val="nil"/>
            </w:tcBorders>
            <w:shd w:val="clear" w:color="auto" w:fill="auto"/>
            <w:noWrap/>
            <w:vAlign w:val="center"/>
          </w:tcPr>
          <w:p>
            <w:pPr>
              <w:pStyle w:val="19"/>
              <w:rPr>
                <w:rFonts w:cs="Times New Roman"/>
              </w:rPr>
            </w:pPr>
            <w:r>
              <w:rPr>
                <w:rFonts w:cs="Times New Roman"/>
              </w:rPr>
              <w:t>柴油水泵机组</w:t>
            </w:r>
          </w:p>
        </w:tc>
        <w:tc>
          <w:tcPr>
            <w:tcW w:w="1087" w:type="pct"/>
            <w:tcBorders>
              <w:tl2br w:val="nil"/>
              <w:tr2bl w:val="nil"/>
            </w:tcBorders>
            <w:shd w:val="clear" w:color="auto" w:fill="auto"/>
            <w:noWrap/>
            <w:vAlign w:val="center"/>
          </w:tcPr>
          <w:p>
            <w:pPr>
              <w:pStyle w:val="19"/>
              <w:rPr>
                <w:rFonts w:cs="Times New Roman"/>
              </w:rPr>
            </w:pPr>
            <w:r>
              <w:rPr>
                <w:rFonts w:cs="Times New Roman"/>
              </w:rPr>
              <w:t>套</w:t>
            </w:r>
          </w:p>
        </w:tc>
        <w:tc>
          <w:tcPr>
            <w:tcW w:w="1087" w:type="pct"/>
            <w:tcBorders>
              <w:tl2br w:val="nil"/>
              <w:tr2bl w:val="nil"/>
            </w:tcBorders>
            <w:shd w:val="clear" w:color="auto" w:fill="auto"/>
            <w:noWrap/>
            <w:vAlign w:val="center"/>
          </w:tcPr>
          <w:p>
            <w:pPr>
              <w:pStyle w:val="19"/>
              <w:rPr>
                <w:rFonts w:cs="Times New Roman"/>
              </w:rPr>
            </w:pPr>
            <w:r>
              <w:rPr>
                <w:rFonts w:cs="Times New Roman"/>
              </w:rPr>
              <w:t>4</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28</w:t>
            </w:r>
          </w:p>
        </w:tc>
        <w:tc>
          <w:tcPr>
            <w:tcW w:w="1087" w:type="pct"/>
            <w:tcBorders>
              <w:tl2br w:val="nil"/>
              <w:tr2bl w:val="nil"/>
            </w:tcBorders>
            <w:shd w:val="clear" w:color="auto" w:fill="auto"/>
            <w:noWrap/>
            <w:vAlign w:val="center"/>
          </w:tcPr>
          <w:p>
            <w:pPr>
              <w:pStyle w:val="19"/>
              <w:rPr>
                <w:rFonts w:cs="Times New Roman"/>
              </w:rPr>
            </w:pPr>
            <w:r>
              <w:rPr>
                <w:rFonts w:cs="Times New Roman"/>
              </w:rPr>
              <w:t>尼龙绳</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8</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29</w:t>
            </w:r>
          </w:p>
        </w:tc>
        <w:tc>
          <w:tcPr>
            <w:tcW w:w="1087" w:type="pct"/>
            <w:tcBorders>
              <w:tl2br w:val="nil"/>
              <w:tr2bl w:val="nil"/>
            </w:tcBorders>
            <w:shd w:val="clear" w:color="auto" w:fill="auto"/>
            <w:noWrap/>
            <w:vAlign w:val="center"/>
          </w:tcPr>
          <w:p>
            <w:pPr>
              <w:pStyle w:val="19"/>
              <w:rPr>
                <w:rFonts w:cs="Times New Roman"/>
              </w:rPr>
            </w:pPr>
            <w:r>
              <w:rPr>
                <w:rFonts w:cs="Times New Roman"/>
              </w:rPr>
              <w:t>锯子</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27</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30</w:t>
            </w:r>
          </w:p>
        </w:tc>
        <w:tc>
          <w:tcPr>
            <w:tcW w:w="1087" w:type="pct"/>
            <w:tcBorders>
              <w:tl2br w:val="nil"/>
              <w:tr2bl w:val="nil"/>
            </w:tcBorders>
            <w:shd w:val="clear" w:color="auto" w:fill="auto"/>
            <w:noWrap/>
            <w:vAlign w:val="center"/>
          </w:tcPr>
          <w:p>
            <w:pPr>
              <w:pStyle w:val="19"/>
              <w:rPr>
                <w:rFonts w:cs="Times New Roman"/>
              </w:rPr>
            </w:pPr>
            <w:r>
              <w:rPr>
                <w:rFonts w:cs="Times New Roman"/>
              </w:rPr>
              <w:t>15匹马力发动机</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3</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31</w:t>
            </w:r>
          </w:p>
        </w:tc>
        <w:tc>
          <w:tcPr>
            <w:tcW w:w="1087" w:type="pct"/>
            <w:tcBorders>
              <w:tl2br w:val="nil"/>
              <w:tr2bl w:val="nil"/>
            </w:tcBorders>
            <w:shd w:val="clear" w:color="auto" w:fill="auto"/>
            <w:noWrap/>
            <w:vAlign w:val="center"/>
          </w:tcPr>
          <w:p>
            <w:pPr>
              <w:pStyle w:val="19"/>
              <w:rPr>
                <w:rFonts w:cs="Times New Roman"/>
              </w:rPr>
            </w:pPr>
            <w:r>
              <w:rPr>
                <w:rFonts w:cs="Times New Roman"/>
              </w:rPr>
              <w:t>拖车架</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1</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32</w:t>
            </w:r>
          </w:p>
        </w:tc>
        <w:tc>
          <w:tcPr>
            <w:tcW w:w="1087" w:type="pct"/>
            <w:tcBorders>
              <w:tl2br w:val="nil"/>
              <w:tr2bl w:val="nil"/>
            </w:tcBorders>
            <w:shd w:val="clear" w:color="auto" w:fill="auto"/>
            <w:noWrap/>
            <w:vAlign w:val="center"/>
          </w:tcPr>
          <w:p>
            <w:pPr>
              <w:pStyle w:val="19"/>
              <w:rPr>
                <w:rFonts w:cs="Times New Roman"/>
              </w:rPr>
            </w:pPr>
            <w:r>
              <w:rPr>
                <w:rFonts w:cs="Times New Roman"/>
              </w:rPr>
              <w:t>30匹马力发动机</w:t>
            </w:r>
          </w:p>
        </w:tc>
        <w:tc>
          <w:tcPr>
            <w:tcW w:w="1087" w:type="pct"/>
            <w:tcBorders>
              <w:tl2br w:val="nil"/>
              <w:tr2bl w:val="nil"/>
            </w:tcBorders>
            <w:shd w:val="clear" w:color="auto" w:fill="auto"/>
            <w:noWrap/>
            <w:vAlign w:val="center"/>
          </w:tcPr>
          <w:p>
            <w:pPr>
              <w:pStyle w:val="19"/>
              <w:rPr>
                <w:rFonts w:cs="Times New Roman"/>
              </w:rPr>
            </w:pPr>
            <w:r>
              <w:rPr>
                <w:rFonts w:cs="Times New Roman"/>
              </w:rPr>
              <w:t>台</w:t>
            </w:r>
          </w:p>
        </w:tc>
        <w:tc>
          <w:tcPr>
            <w:tcW w:w="1087" w:type="pct"/>
            <w:tcBorders>
              <w:tl2br w:val="nil"/>
              <w:tr2bl w:val="nil"/>
            </w:tcBorders>
            <w:shd w:val="clear" w:color="auto" w:fill="auto"/>
            <w:noWrap/>
            <w:vAlign w:val="center"/>
          </w:tcPr>
          <w:p>
            <w:pPr>
              <w:pStyle w:val="19"/>
              <w:rPr>
                <w:rFonts w:cs="Times New Roman"/>
              </w:rPr>
            </w:pPr>
            <w:r>
              <w:rPr>
                <w:rFonts w:cs="Times New Roman"/>
              </w:rPr>
              <w:t>1</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33</w:t>
            </w:r>
          </w:p>
        </w:tc>
        <w:tc>
          <w:tcPr>
            <w:tcW w:w="1087" w:type="pct"/>
            <w:tcBorders>
              <w:tl2br w:val="nil"/>
              <w:tr2bl w:val="nil"/>
            </w:tcBorders>
            <w:shd w:val="clear" w:color="auto" w:fill="auto"/>
            <w:noWrap/>
            <w:vAlign w:val="center"/>
          </w:tcPr>
          <w:p>
            <w:pPr>
              <w:pStyle w:val="19"/>
              <w:rPr>
                <w:rFonts w:cs="Times New Roman"/>
              </w:rPr>
            </w:pPr>
            <w:r>
              <w:rPr>
                <w:rFonts w:cs="Times New Roman"/>
              </w:rPr>
              <w:t>安全绳</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7</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34</w:t>
            </w:r>
          </w:p>
        </w:tc>
        <w:tc>
          <w:tcPr>
            <w:tcW w:w="1087" w:type="pct"/>
            <w:tcBorders>
              <w:tl2br w:val="nil"/>
              <w:tr2bl w:val="nil"/>
            </w:tcBorders>
            <w:shd w:val="clear" w:color="auto" w:fill="auto"/>
            <w:noWrap/>
            <w:vAlign w:val="center"/>
          </w:tcPr>
          <w:p>
            <w:pPr>
              <w:pStyle w:val="19"/>
              <w:rPr>
                <w:rFonts w:cs="Times New Roman"/>
              </w:rPr>
            </w:pPr>
            <w:r>
              <w:rPr>
                <w:rFonts w:cs="Times New Roman"/>
              </w:rPr>
              <w:t>抬绳</w:t>
            </w:r>
          </w:p>
        </w:tc>
        <w:tc>
          <w:tcPr>
            <w:tcW w:w="1087" w:type="pct"/>
            <w:tcBorders>
              <w:tl2br w:val="nil"/>
              <w:tr2bl w:val="nil"/>
            </w:tcBorders>
            <w:shd w:val="clear" w:color="auto" w:fill="auto"/>
            <w:noWrap/>
            <w:vAlign w:val="center"/>
          </w:tcPr>
          <w:p>
            <w:pPr>
              <w:pStyle w:val="19"/>
              <w:rPr>
                <w:rFonts w:cs="Times New Roman"/>
              </w:rPr>
            </w:pPr>
            <w:r>
              <w:rPr>
                <w:rFonts w:cs="Times New Roman"/>
              </w:rPr>
              <w:t>根</w:t>
            </w:r>
          </w:p>
        </w:tc>
        <w:tc>
          <w:tcPr>
            <w:tcW w:w="1087" w:type="pct"/>
            <w:tcBorders>
              <w:tl2br w:val="nil"/>
              <w:tr2bl w:val="nil"/>
            </w:tcBorders>
            <w:shd w:val="clear" w:color="auto" w:fill="auto"/>
            <w:noWrap/>
            <w:vAlign w:val="center"/>
          </w:tcPr>
          <w:p>
            <w:pPr>
              <w:pStyle w:val="19"/>
              <w:rPr>
                <w:rFonts w:cs="Times New Roman"/>
              </w:rPr>
            </w:pPr>
            <w:r>
              <w:rPr>
                <w:rFonts w:cs="Times New Roman"/>
              </w:rPr>
              <w:t>50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35</w:t>
            </w:r>
          </w:p>
        </w:tc>
        <w:tc>
          <w:tcPr>
            <w:tcW w:w="1087" w:type="pct"/>
            <w:tcBorders>
              <w:tl2br w:val="nil"/>
              <w:tr2bl w:val="nil"/>
            </w:tcBorders>
            <w:shd w:val="clear" w:color="auto" w:fill="auto"/>
            <w:noWrap/>
            <w:vAlign w:val="center"/>
          </w:tcPr>
          <w:p>
            <w:pPr>
              <w:pStyle w:val="19"/>
              <w:rPr>
                <w:rFonts w:cs="Times New Roman"/>
              </w:rPr>
            </w:pPr>
            <w:r>
              <w:rPr>
                <w:rFonts w:cs="Times New Roman"/>
              </w:rPr>
              <w:t>手套</w:t>
            </w:r>
          </w:p>
        </w:tc>
        <w:tc>
          <w:tcPr>
            <w:tcW w:w="1087" w:type="pct"/>
            <w:tcBorders>
              <w:tl2br w:val="nil"/>
              <w:tr2bl w:val="nil"/>
            </w:tcBorders>
            <w:shd w:val="clear" w:color="auto" w:fill="auto"/>
            <w:noWrap/>
            <w:vAlign w:val="center"/>
          </w:tcPr>
          <w:p>
            <w:pPr>
              <w:pStyle w:val="19"/>
              <w:rPr>
                <w:rFonts w:cs="Times New Roman"/>
              </w:rPr>
            </w:pPr>
            <w:r>
              <w:rPr>
                <w:rFonts w:cs="Times New Roman"/>
              </w:rPr>
              <w:t>双</w:t>
            </w:r>
          </w:p>
        </w:tc>
        <w:tc>
          <w:tcPr>
            <w:tcW w:w="1087" w:type="pct"/>
            <w:tcBorders>
              <w:tl2br w:val="nil"/>
              <w:tr2bl w:val="nil"/>
            </w:tcBorders>
            <w:shd w:val="clear" w:color="auto" w:fill="auto"/>
            <w:noWrap/>
            <w:vAlign w:val="center"/>
          </w:tcPr>
          <w:p>
            <w:pPr>
              <w:pStyle w:val="19"/>
              <w:rPr>
                <w:rFonts w:cs="Times New Roman"/>
              </w:rPr>
            </w:pPr>
            <w:r>
              <w:rPr>
                <w:rFonts w:cs="Times New Roman"/>
              </w:rPr>
              <w:t>40</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36</w:t>
            </w:r>
          </w:p>
        </w:tc>
        <w:tc>
          <w:tcPr>
            <w:tcW w:w="1087" w:type="pct"/>
            <w:tcBorders>
              <w:tl2br w:val="nil"/>
              <w:tr2bl w:val="nil"/>
            </w:tcBorders>
            <w:shd w:val="clear" w:color="auto" w:fill="auto"/>
            <w:noWrap/>
            <w:vAlign w:val="center"/>
          </w:tcPr>
          <w:p>
            <w:pPr>
              <w:pStyle w:val="19"/>
              <w:rPr>
                <w:rFonts w:cs="Times New Roman"/>
              </w:rPr>
            </w:pPr>
            <w:r>
              <w:rPr>
                <w:rFonts w:cs="Times New Roman"/>
              </w:rPr>
              <w:t>镰刀</w:t>
            </w:r>
          </w:p>
        </w:tc>
        <w:tc>
          <w:tcPr>
            <w:tcW w:w="1087" w:type="pct"/>
            <w:tcBorders>
              <w:tl2br w:val="nil"/>
              <w:tr2bl w:val="nil"/>
            </w:tcBorders>
            <w:shd w:val="clear" w:color="auto" w:fill="auto"/>
            <w:noWrap/>
            <w:vAlign w:val="center"/>
          </w:tcPr>
          <w:p>
            <w:pPr>
              <w:pStyle w:val="19"/>
              <w:rPr>
                <w:rFonts w:cs="Times New Roman"/>
              </w:rPr>
            </w:pPr>
            <w:r>
              <w:rPr>
                <w:rFonts w:cs="Times New Roman"/>
              </w:rPr>
              <w:t>把</w:t>
            </w:r>
          </w:p>
        </w:tc>
        <w:tc>
          <w:tcPr>
            <w:tcW w:w="1087" w:type="pct"/>
            <w:tcBorders>
              <w:tl2br w:val="nil"/>
              <w:tr2bl w:val="nil"/>
            </w:tcBorders>
            <w:shd w:val="clear" w:color="auto" w:fill="auto"/>
            <w:noWrap/>
            <w:vAlign w:val="center"/>
          </w:tcPr>
          <w:p>
            <w:pPr>
              <w:pStyle w:val="19"/>
              <w:rPr>
                <w:rFonts w:cs="Times New Roman"/>
              </w:rPr>
            </w:pPr>
            <w:r>
              <w:rPr>
                <w:rFonts w:cs="Times New Roman"/>
              </w:rPr>
              <w:t>29</w:t>
            </w:r>
          </w:p>
        </w:tc>
        <w:tc>
          <w:tcPr>
            <w:tcW w:w="1087" w:type="pct"/>
            <w:tcBorders>
              <w:tl2br w:val="nil"/>
              <w:tr2bl w:val="nil"/>
            </w:tcBorders>
            <w:shd w:val="clear" w:color="auto" w:fill="auto"/>
            <w:noWrap/>
            <w:vAlign w:val="center"/>
          </w:tcPr>
          <w:p>
            <w:pPr>
              <w:pStyle w:val="19"/>
              <w:rPr>
                <w:rFonts w:cs="Times New Roma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51" w:type="pct"/>
            <w:tcBorders>
              <w:tl2br w:val="nil"/>
              <w:tr2bl w:val="nil"/>
            </w:tcBorders>
            <w:shd w:val="clear" w:color="auto" w:fill="auto"/>
            <w:noWrap/>
            <w:vAlign w:val="center"/>
          </w:tcPr>
          <w:p>
            <w:pPr>
              <w:pStyle w:val="19"/>
              <w:rPr>
                <w:rFonts w:cs="Times New Roman"/>
              </w:rPr>
            </w:pPr>
            <w:r>
              <w:rPr>
                <w:rFonts w:cs="Times New Roman"/>
              </w:rPr>
              <w:t>37</w:t>
            </w:r>
          </w:p>
        </w:tc>
        <w:tc>
          <w:tcPr>
            <w:tcW w:w="1087" w:type="pct"/>
            <w:tcBorders>
              <w:tl2br w:val="nil"/>
              <w:tr2bl w:val="nil"/>
            </w:tcBorders>
            <w:shd w:val="clear" w:color="auto" w:fill="auto"/>
            <w:noWrap/>
            <w:vAlign w:val="center"/>
          </w:tcPr>
          <w:p>
            <w:pPr>
              <w:pStyle w:val="19"/>
              <w:rPr>
                <w:rFonts w:cs="Times New Roman"/>
              </w:rPr>
            </w:pPr>
            <w:r>
              <w:rPr>
                <w:rFonts w:cs="Times New Roman"/>
              </w:rPr>
              <w:t>雨衣</w:t>
            </w:r>
          </w:p>
        </w:tc>
        <w:tc>
          <w:tcPr>
            <w:tcW w:w="1087" w:type="pct"/>
            <w:tcBorders>
              <w:tl2br w:val="nil"/>
              <w:tr2bl w:val="nil"/>
            </w:tcBorders>
            <w:shd w:val="clear" w:color="auto" w:fill="auto"/>
            <w:noWrap/>
            <w:vAlign w:val="center"/>
          </w:tcPr>
          <w:p>
            <w:pPr>
              <w:pStyle w:val="19"/>
              <w:rPr>
                <w:rFonts w:cs="Times New Roman"/>
              </w:rPr>
            </w:pPr>
            <w:r>
              <w:rPr>
                <w:rFonts w:cs="Times New Roman"/>
              </w:rPr>
              <w:t>件</w:t>
            </w:r>
          </w:p>
        </w:tc>
        <w:tc>
          <w:tcPr>
            <w:tcW w:w="1087" w:type="pct"/>
            <w:tcBorders>
              <w:tl2br w:val="nil"/>
              <w:tr2bl w:val="nil"/>
            </w:tcBorders>
            <w:shd w:val="clear" w:color="auto" w:fill="auto"/>
            <w:noWrap/>
            <w:vAlign w:val="center"/>
          </w:tcPr>
          <w:p>
            <w:pPr>
              <w:pStyle w:val="19"/>
              <w:rPr>
                <w:rFonts w:cs="Times New Roman"/>
              </w:rPr>
            </w:pPr>
            <w:r>
              <w:rPr>
                <w:rFonts w:cs="Times New Roman"/>
              </w:rPr>
              <w:t>24</w:t>
            </w:r>
          </w:p>
        </w:tc>
        <w:tc>
          <w:tcPr>
            <w:tcW w:w="1087" w:type="pct"/>
            <w:tcBorders>
              <w:tl2br w:val="nil"/>
              <w:tr2bl w:val="nil"/>
            </w:tcBorders>
            <w:shd w:val="clear" w:color="auto" w:fill="auto"/>
            <w:noWrap/>
            <w:vAlign w:val="center"/>
          </w:tcPr>
          <w:p>
            <w:pPr>
              <w:pStyle w:val="19"/>
              <w:rPr>
                <w:rFonts w:cs="Times New Roman"/>
              </w:rPr>
            </w:pPr>
          </w:p>
        </w:tc>
      </w:tr>
    </w:tbl>
    <w:p>
      <w:pPr>
        <w:pStyle w:val="3"/>
        <w:spacing w:before="120" w:after="120" w:line="240" w:lineRule="auto"/>
        <w:jc w:val="center"/>
      </w:pPr>
      <w:r>
        <w:br w:type="page"/>
      </w:r>
      <w:bookmarkStart w:id="129" w:name="_Toc18804"/>
      <w:bookmarkStart w:id="130" w:name="_Toc13794"/>
      <w:bookmarkStart w:id="131" w:name="_Toc389230764"/>
      <w:bookmarkStart w:id="132" w:name="_Toc8252"/>
      <w:bookmarkStart w:id="133" w:name="_Toc372628282"/>
      <w:r>
        <w:t>附件1</w:t>
      </w:r>
      <w:r>
        <w:rPr>
          <w:rFonts w:hint="eastAsia"/>
        </w:rPr>
        <w:t>9</w:t>
      </w:r>
      <w:r>
        <w:t xml:space="preserve">  工农水库</w:t>
      </w:r>
      <w:r>
        <w:rPr>
          <w:rFonts w:hint="eastAsia"/>
        </w:rPr>
        <w:t>突发事件</w:t>
      </w:r>
      <w:r>
        <w:t>应急处置流程图</w:t>
      </w:r>
      <w:bookmarkEnd w:id="129"/>
      <w:bookmarkEnd w:id="130"/>
    </w:p>
    <w:bookmarkEnd w:id="131"/>
    <w:bookmarkEnd w:id="132"/>
    <w:bookmarkEnd w:id="133"/>
    <w:p>
      <w:pPr>
        <w:tabs>
          <w:tab w:val="left" w:pos="4320"/>
          <w:tab w:val="left" w:pos="4500"/>
          <w:tab w:val="left" w:pos="4860"/>
          <w:tab w:val="left" w:pos="5220"/>
        </w:tabs>
        <w:spacing w:line="240" w:lineRule="auto"/>
        <w:ind w:firstLine="0" w:firstLineChars="0"/>
        <w:jc w:val="center"/>
        <w:rPr>
          <w:b/>
          <w:sz w:val="30"/>
          <w:szCs w:val="30"/>
        </w:rPr>
      </w:pPr>
      <w:r>
        <w:rPr>
          <w:b/>
          <w:sz w:val="28"/>
          <w:szCs w:val="28"/>
        </w:rPr>
        <mc:AlternateContent>
          <mc:Choice Requires="wpg">
            <w:drawing>
              <wp:inline distT="0" distB="0" distL="114300" distR="114300">
                <wp:extent cx="5391785" cy="7686040"/>
                <wp:effectExtent l="5080" t="0" r="13335" b="0"/>
                <wp:docPr id="74" name="组合 40"/>
                <wp:cNvGraphicFramePr/>
                <a:graphic xmlns:a="http://schemas.openxmlformats.org/drawingml/2006/main">
                  <a:graphicData uri="http://schemas.microsoft.com/office/word/2010/wordprocessingGroup">
                    <wpg:wgp>
                      <wpg:cNvGrpSpPr/>
                      <wpg:grpSpPr>
                        <a:xfrm>
                          <a:off x="0" y="0"/>
                          <a:ext cx="5391785" cy="7686040"/>
                          <a:chOff x="0" y="0"/>
                          <a:chExt cx="9405" cy="12420"/>
                        </a:xfrm>
                      </wpg:grpSpPr>
                      <wps:wsp>
                        <wps:cNvPr id="38" name="矩形 4"/>
                        <wps:cNvSpPr/>
                        <wps:spPr>
                          <a:xfrm>
                            <a:off x="0" y="0"/>
                            <a:ext cx="9405" cy="12420"/>
                          </a:xfrm>
                          <a:prstGeom prst="rect">
                            <a:avLst/>
                          </a:prstGeom>
                          <a:noFill/>
                          <a:ln>
                            <a:noFill/>
                          </a:ln>
                        </wps:spPr>
                        <wps:bodyPr upright="true"/>
                      </wps:wsp>
                      <wps:wsp>
                        <wps:cNvPr id="39" name="Rectangle 1139"/>
                        <wps:cNvSpPr/>
                        <wps:spPr>
                          <a:xfrm>
                            <a:off x="4580" y="1773"/>
                            <a:ext cx="989" cy="50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19"/>
                              </w:pPr>
                              <w:r>
                                <w:rPr>
                                  <w:rFonts w:hint="eastAsia"/>
                                </w:rPr>
                                <w:t>上报</w:t>
                              </w:r>
                            </w:p>
                          </w:txbxContent>
                        </wps:txbx>
                        <wps:bodyPr upright="true"/>
                      </wps:wsp>
                      <wps:wsp>
                        <wps:cNvPr id="40" name="矩形 6"/>
                        <wps:cNvSpPr/>
                        <wps:spPr>
                          <a:xfrm>
                            <a:off x="3081" y="535"/>
                            <a:ext cx="2789"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突发事件发生</w:t>
                              </w:r>
                            </w:p>
                          </w:txbxContent>
                        </wps:txbx>
                        <wps:bodyPr upright="true"/>
                      </wps:wsp>
                      <wps:wsp>
                        <wps:cNvPr id="41" name="矩形 7"/>
                        <wps:cNvSpPr/>
                        <wps:spPr>
                          <a:xfrm>
                            <a:off x="2996" y="1390"/>
                            <a:ext cx="3484" cy="4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rPr>
                                  <w:szCs w:val="21"/>
                                </w:rPr>
                              </w:pPr>
                              <w:r>
                                <w:rPr>
                                  <w:rFonts w:hint="eastAsia"/>
                                  <w:szCs w:val="21"/>
                                </w:rPr>
                                <w:t>沙坪坝区水库管理站确认</w:t>
                              </w:r>
                            </w:p>
                          </w:txbxContent>
                        </wps:txbx>
                        <wps:bodyPr upright="true"/>
                      </wps:wsp>
                      <wps:wsp>
                        <wps:cNvPr id="42" name="矩形 8"/>
                        <wps:cNvSpPr/>
                        <wps:spPr>
                          <a:xfrm>
                            <a:off x="3478" y="9925"/>
                            <a:ext cx="2789"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应急处置</w:t>
                              </w:r>
                            </w:p>
                          </w:txbxContent>
                        </wps:txbx>
                        <wps:bodyPr upright="true"/>
                      </wps:wsp>
                      <wps:wsp>
                        <wps:cNvPr id="43" name="矩形 9"/>
                        <wps:cNvSpPr/>
                        <wps:spPr>
                          <a:xfrm>
                            <a:off x="3478" y="11595"/>
                            <a:ext cx="2789" cy="4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应急结束</w:t>
                              </w:r>
                            </w:p>
                          </w:txbxContent>
                        </wps:txbx>
                        <wps:bodyPr upright="true"/>
                      </wps:wsp>
                      <wps:wsp>
                        <wps:cNvPr id="44" name="直接箭头连接符 10"/>
                        <wps:cNvCnPr/>
                        <wps:spPr>
                          <a:xfrm>
                            <a:off x="4478" y="954"/>
                            <a:ext cx="2" cy="436"/>
                          </a:xfrm>
                          <a:prstGeom prst="straightConnector1">
                            <a:avLst/>
                          </a:prstGeom>
                          <a:ln w="9525" cap="flat" cmpd="sng">
                            <a:solidFill>
                              <a:srgbClr val="000000"/>
                            </a:solidFill>
                            <a:prstDash val="solid"/>
                            <a:headEnd type="none" w="med" len="med"/>
                            <a:tailEnd type="triangle" w="med" len="med"/>
                          </a:ln>
                        </wps:spPr>
                        <wps:bodyPr/>
                      </wps:wsp>
                      <wps:wsp>
                        <wps:cNvPr id="45" name="直接箭头连接符 11"/>
                        <wps:cNvCnPr/>
                        <wps:spPr>
                          <a:xfrm flipH="true">
                            <a:off x="4736" y="1812"/>
                            <a:ext cx="2" cy="393"/>
                          </a:xfrm>
                          <a:prstGeom prst="straightConnector1">
                            <a:avLst/>
                          </a:prstGeom>
                          <a:ln w="9525" cap="flat" cmpd="sng">
                            <a:solidFill>
                              <a:srgbClr val="000000"/>
                            </a:solidFill>
                            <a:prstDash val="solid"/>
                            <a:headEnd type="none" w="med" len="med"/>
                            <a:tailEnd type="triangle" w="med" len="med"/>
                          </a:ln>
                        </wps:spPr>
                        <wps:bodyPr/>
                      </wps:wsp>
                      <wps:wsp>
                        <wps:cNvPr id="46" name="矩形 12"/>
                        <wps:cNvSpPr/>
                        <wps:spPr>
                          <a:xfrm>
                            <a:off x="2309" y="2280"/>
                            <a:ext cx="4381"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沙坪坝区防汛抗旱指挥部确认险情级别</w:t>
                              </w:r>
                            </w:p>
                          </w:txbxContent>
                        </wps:txbx>
                        <wps:bodyPr upright="true"/>
                      </wps:wsp>
                      <wps:wsp>
                        <wps:cNvPr id="47" name="矩形 13"/>
                        <wps:cNvSpPr/>
                        <wps:spPr>
                          <a:xfrm>
                            <a:off x="543" y="3211"/>
                            <a:ext cx="1436"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Ⅰ级响应</w:t>
                              </w:r>
                            </w:p>
                          </w:txbxContent>
                        </wps:txbx>
                        <wps:bodyPr upright="true"/>
                      </wps:wsp>
                      <wps:wsp>
                        <wps:cNvPr id="48" name="矩形 14"/>
                        <wps:cNvSpPr/>
                        <wps:spPr>
                          <a:xfrm>
                            <a:off x="2965" y="3211"/>
                            <a:ext cx="1449"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rPr>
                                  <w:color w:val="000000"/>
                                  <w:szCs w:val="21"/>
                                </w:rPr>
                              </w:pPr>
                              <w:r>
                                <w:rPr>
                                  <w:rFonts w:hint="eastAsia"/>
                                </w:rPr>
                                <w:t>Ⅱ级响应</w:t>
                              </w:r>
                            </w:p>
                          </w:txbxContent>
                        </wps:txbx>
                        <wps:bodyPr upright="true"/>
                      </wps:wsp>
                      <wps:wsp>
                        <wps:cNvPr id="49" name="矩形 15"/>
                        <wps:cNvSpPr/>
                        <wps:spPr>
                          <a:xfrm>
                            <a:off x="5402" y="3211"/>
                            <a:ext cx="1439"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Ⅲ级响应</w:t>
                              </w:r>
                            </w:p>
                          </w:txbxContent>
                        </wps:txbx>
                        <wps:bodyPr upright="true"/>
                      </wps:wsp>
                      <wps:wsp>
                        <wps:cNvPr id="50" name="矩形 16"/>
                        <wps:cNvSpPr/>
                        <wps:spPr>
                          <a:xfrm>
                            <a:off x="7665" y="3276"/>
                            <a:ext cx="1441" cy="4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Ⅳ级响应</w:t>
                              </w:r>
                            </w:p>
                          </w:txbxContent>
                        </wps:txbx>
                        <wps:bodyPr upright="true"/>
                      </wps:wsp>
                      <wps:wsp>
                        <wps:cNvPr id="51" name="肘形连接符 17"/>
                        <wps:cNvCnPr/>
                        <wps:spPr>
                          <a:xfrm rot="-16200000" flipV="true">
                            <a:off x="4766" y="-344"/>
                            <a:ext cx="65" cy="7125"/>
                          </a:xfrm>
                          <a:prstGeom prst="bentConnector3">
                            <a:avLst>
                              <a:gd name="adj1" fmla="val -553847"/>
                            </a:avLst>
                          </a:prstGeom>
                          <a:ln w="9525" cap="flat" cmpd="sng">
                            <a:solidFill>
                              <a:srgbClr val="000000"/>
                            </a:solidFill>
                            <a:prstDash val="solid"/>
                            <a:miter/>
                            <a:headEnd type="none" w="med" len="med"/>
                            <a:tailEnd type="none" w="med" len="med"/>
                          </a:ln>
                        </wps:spPr>
                        <wps:bodyPr/>
                      </wps:wsp>
                      <wps:wsp>
                        <wps:cNvPr id="52" name="直接箭头连接符 18"/>
                        <wps:cNvCnPr/>
                        <wps:spPr>
                          <a:xfrm>
                            <a:off x="4500" y="2699"/>
                            <a:ext cx="1" cy="122"/>
                          </a:xfrm>
                          <a:prstGeom prst="straightConnector1">
                            <a:avLst/>
                          </a:prstGeom>
                          <a:ln w="9525" cap="flat" cmpd="sng">
                            <a:solidFill>
                              <a:srgbClr val="000000"/>
                            </a:solidFill>
                            <a:prstDash val="solid"/>
                            <a:headEnd type="none" w="med" len="med"/>
                            <a:tailEnd type="none" w="med" len="med"/>
                          </a:ln>
                        </wps:spPr>
                        <wps:bodyPr/>
                      </wps:wsp>
                      <wps:wsp>
                        <wps:cNvPr id="53" name="直接箭头连接符 19"/>
                        <wps:cNvCnPr/>
                        <wps:spPr>
                          <a:xfrm flipV="true">
                            <a:off x="3690" y="2821"/>
                            <a:ext cx="1" cy="390"/>
                          </a:xfrm>
                          <a:prstGeom prst="straightConnector1">
                            <a:avLst/>
                          </a:prstGeom>
                          <a:ln w="9525" cap="flat" cmpd="sng">
                            <a:solidFill>
                              <a:srgbClr val="000000"/>
                            </a:solidFill>
                            <a:prstDash val="solid"/>
                            <a:headEnd type="none" w="med" len="med"/>
                            <a:tailEnd type="none" w="med" len="med"/>
                          </a:ln>
                        </wps:spPr>
                        <wps:bodyPr/>
                      </wps:wsp>
                      <wps:wsp>
                        <wps:cNvPr id="54" name="直接箭头连接符 20"/>
                        <wps:cNvCnPr/>
                        <wps:spPr>
                          <a:xfrm flipV="true">
                            <a:off x="6122" y="2821"/>
                            <a:ext cx="1" cy="390"/>
                          </a:xfrm>
                          <a:prstGeom prst="straightConnector1">
                            <a:avLst/>
                          </a:prstGeom>
                          <a:ln w="9525" cap="flat" cmpd="sng">
                            <a:solidFill>
                              <a:srgbClr val="000000"/>
                            </a:solidFill>
                            <a:prstDash val="solid"/>
                            <a:headEnd type="none" w="med" len="med"/>
                            <a:tailEnd type="none" w="med" len="med"/>
                          </a:ln>
                        </wps:spPr>
                        <wps:bodyPr/>
                      </wps:wsp>
                      <wps:wsp>
                        <wps:cNvPr id="55" name="直接箭头连接符 21"/>
                        <wps:cNvCnPr/>
                        <wps:spPr>
                          <a:xfrm>
                            <a:off x="5564" y="3915"/>
                            <a:ext cx="1" cy="436"/>
                          </a:xfrm>
                          <a:prstGeom prst="straightConnector1">
                            <a:avLst/>
                          </a:prstGeom>
                          <a:ln w="9525" cap="flat" cmpd="sng">
                            <a:solidFill>
                              <a:srgbClr val="000000"/>
                            </a:solidFill>
                            <a:prstDash val="solid"/>
                            <a:headEnd type="none" w="med" len="med"/>
                            <a:tailEnd type="triangle" w="med" len="med"/>
                          </a:ln>
                        </wps:spPr>
                        <wps:bodyPr/>
                      </wps:wsp>
                      <wps:wsp>
                        <wps:cNvPr id="56" name="直接箭头连接符 22"/>
                        <wps:cNvCnPr/>
                        <wps:spPr>
                          <a:xfrm>
                            <a:off x="2490" y="5178"/>
                            <a:ext cx="2" cy="436"/>
                          </a:xfrm>
                          <a:prstGeom prst="straightConnector1">
                            <a:avLst/>
                          </a:prstGeom>
                          <a:ln w="9525" cap="flat" cmpd="sng">
                            <a:solidFill>
                              <a:srgbClr val="000000"/>
                            </a:solidFill>
                            <a:prstDash val="solid"/>
                            <a:headEnd type="none" w="med" len="med"/>
                            <a:tailEnd type="triangle" w="med" len="med"/>
                          </a:ln>
                        </wps:spPr>
                        <wps:bodyPr/>
                      </wps:wsp>
                      <wps:wsp>
                        <wps:cNvPr id="57" name="肘形连接符 23"/>
                        <wps:cNvCnPr/>
                        <wps:spPr>
                          <a:xfrm rot="5400000">
                            <a:off x="4872" y="2381"/>
                            <a:ext cx="1" cy="2432"/>
                          </a:xfrm>
                          <a:prstGeom prst="bentConnector3">
                            <a:avLst>
                              <a:gd name="adj1" fmla="val 28400000"/>
                            </a:avLst>
                          </a:prstGeom>
                          <a:ln w="9525" cap="flat" cmpd="sng">
                            <a:solidFill>
                              <a:srgbClr val="000000"/>
                            </a:solidFill>
                            <a:prstDash val="solid"/>
                            <a:miter/>
                            <a:headEnd type="none" w="med" len="med"/>
                            <a:tailEnd type="none" w="med" len="med"/>
                          </a:ln>
                        </wps:spPr>
                        <wps:bodyPr/>
                      </wps:wsp>
                      <wps:wsp>
                        <wps:cNvPr id="58" name="矩形 24"/>
                        <wps:cNvSpPr/>
                        <wps:spPr>
                          <a:xfrm>
                            <a:off x="105" y="4410"/>
                            <a:ext cx="4410" cy="7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由沙坪坝区防汛抗旱指挥部发布</w:t>
                              </w:r>
                            </w:p>
                          </w:txbxContent>
                        </wps:txbx>
                        <wps:bodyPr upright="true"/>
                      </wps:wsp>
                      <wps:wsp>
                        <wps:cNvPr id="59" name="矩形 25"/>
                        <wps:cNvSpPr/>
                        <wps:spPr>
                          <a:xfrm>
                            <a:off x="7169" y="4410"/>
                            <a:ext cx="2236" cy="7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由沙坪坝区防汛抗旱指挥部发布</w:t>
                              </w:r>
                            </w:p>
                          </w:txbxContent>
                        </wps:txbx>
                        <wps:bodyPr upright="true"/>
                      </wps:wsp>
                      <wps:wsp>
                        <wps:cNvPr id="60" name="直接箭头连接符 26"/>
                        <wps:cNvCnPr/>
                        <wps:spPr>
                          <a:xfrm>
                            <a:off x="8400" y="5148"/>
                            <a:ext cx="1" cy="436"/>
                          </a:xfrm>
                          <a:prstGeom prst="straightConnector1">
                            <a:avLst/>
                          </a:prstGeom>
                          <a:ln w="9525" cap="flat" cmpd="sng">
                            <a:solidFill>
                              <a:srgbClr val="000000"/>
                            </a:solidFill>
                            <a:prstDash val="solid"/>
                            <a:headEnd type="none" w="med" len="med"/>
                            <a:tailEnd type="triangle" w="med" len="med"/>
                          </a:ln>
                        </wps:spPr>
                        <wps:bodyPr/>
                      </wps:wsp>
                      <wps:wsp>
                        <wps:cNvPr id="61" name="矩形 27"/>
                        <wps:cNvSpPr/>
                        <wps:spPr>
                          <a:xfrm>
                            <a:off x="0" y="5617"/>
                            <a:ext cx="4304" cy="3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jc w:val="both"/>
                              </w:pPr>
                              <w:r>
                                <w:rPr>
                                  <w:rFonts w:hint="eastAsia"/>
                                </w:rPr>
                                <w:t>Ⅰ级：</w:t>
                              </w:r>
                              <w:r>
                                <w:rPr>
                                  <w:rFonts w:cs="Times New Roman"/>
                                </w:rPr>
                                <w:t>沙坪坝区防汛抗旱指挥部指挥长主持会商，作出抢险救灾工作部署，并及时将防汛工作情况收集汇总后上报重庆市防汛抗旱指挥部，立即启动防汛应急预案，第一时间派出工作组赴受灾地区加强指导，并成立由沙坪坝区人民政府、沙坪坝区防汛抗旱指挥部、青木关镇人民政府、</w:t>
                              </w:r>
                              <w:r>
                                <w:rPr>
                                  <w:rFonts w:hint="eastAsia" w:cs="Times New Roman"/>
                                </w:rPr>
                                <w:t>凤凰镇人民政府</w:t>
                              </w:r>
                              <w:r>
                                <w:rPr>
                                  <w:rFonts w:cs="Times New Roman"/>
                                </w:rPr>
                                <w:t>等单位组成的抗洪抢险救灾现场指挥部，负责抗洪抢险救灾的具体处置工作</w:t>
                              </w:r>
                              <w:r>
                                <w:rPr>
                                  <w:rFonts w:cs="Times New Roman"/>
                                  <w:szCs w:val="28"/>
                                </w:rPr>
                                <w:t>。</w:t>
                              </w:r>
                            </w:p>
                          </w:txbxContent>
                        </wps:txbx>
                        <wps:bodyPr lIns="35941" tIns="35941" rIns="35941" bIns="35941" upright="true"/>
                      </wps:wsp>
                      <wps:wsp>
                        <wps:cNvPr id="62" name="矩形 28"/>
                        <wps:cNvSpPr/>
                        <wps:spPr>
                          <a:xfrm>
                            <a:off x="7276" y="5655"/>
                            <a:ext cx="2053" cy="3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jc w:val="both"/>
                              </w:pPr>
                              <w:r>
                                <w:rPr>
                                  <w:rFonts w:hint="eastAsia"/>
                                </w:rPr>
                                <w:t>Ⅳ级：</w:t>
                              </w:r>
                              <w:r>
                                <w:rPr>
                                  <w:rFonts w:cs="Times New Roman"/>
                                </w:rPr>
                                <w:t>沙坪坝区农业农村委员会主要领导</w:t>
                              </w:r>
                              <w:r>
                                <w:rPr>
                                  <w:rFonts w:hint="eastAsia"/>
                                </w:rPr>
                                <w:t>主持会商，</w:t>
                              </w:r>
                              <w:r>
                                <w:rPr>
                                  <w:rFonts w:cs="Times New Roman"/>
                                </w:rPr>
                                <w:t>作出相应工作安排，加强对汛情的监视和对防汛工作的指导，并及时将防汛工作情况收集汇总后上报沙坪坝区防汛抗旱指挥部。</w:t>
                              </w:r>
                            </w:p>
                          </w:txbxContent>
                        </wps:txbx>
                        <wps:bodyPr lIns="35941" tIns="35941" rIns="35941" bIns="35941" upright="true"/>
                      </wps:wsp>
                      <wps:wsp>
                        <wps:cNvPr id="63" name="肘形连接符 29"/>
                        <wps:cNvCnPr/>
                        <wps:spPr>
                          <a:xfrm rot="5400000" flipH="true" flipV="true">
                            <a:off x="5160" y="6060"/>
                            <a:ext cx="68" cy="6151"/>
                          </a:xfrm>
                          <a:prstGeom prst="bentConnector3">
                            <a:avLst>
                              <a:gd name="adj1" fmla="val -529412"/>
                            </a:avLst>
                          </a:prstGeom>
                          <a:ln w="9525" cap="flat" cmpd="sng">
                            <a:solidFill>
                              <a:srgbClr val="000000"/>
                            </a:solidFill>
                            <a:prstDash val="solid"/>
                            <a:miter/>
                            <a:headEnd type="none" w="med" len="med"/>
                            <a:tailEnd type="none" w="med" len="med"/>
                          </a:ln>
                        </wps:spPr>
                        <wps:bodyPr/>
                      </wps:wsp>
                      <wps:wsp>
                        <wps:cNvPr id="64" name="矩形 30"/>
                        <wps:cNvSpPr/>
                        <wps:spPr>
                          <a:xfrm>
                            <a:off x="3478" y="10695"/>
                            <a:ext cx="2789"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现场险情处置</w:t>
                              </w:r>
                            </w:p>
                          </w:txbxContent>
                        </wps:txbx>
                        <wps:bodyPr upright="true"/>
                      </wps:wsp>
                      <wps:wsp>
                        <wps:cNvPr id="65" name="直接箭头连接符 31"/>
                        <wps:cNvCnPr/>
                        <wps:spPr>
                          <a:xfrm>
                            <a:off x="4873" y="10345"/>
                            <a:ext cx="1" cy="350"/>
                          </a:xfrm>
                          <a:prstGeom prst="straightConnector1">
                            <a:avLst/>
                          </a:prstGeom>
                          <a:ln w="9525" cap="flat" cmpd="sng">
                            <a:solidFill>
                              <a:srgbClr val="000000"/>
                            </a:solidFill>
                            <a:prstDash val="solid"/>
                            <a:headEnd type="none" w="med" len="med"/>
                            <a:tailEnd type="triangle" w="med" len="med"/>
                          </a:ln>
                        </wps:spPr>
                        <wps:bodyPr/>
                      </wps:wsp>
                      <wps:wsp>
                        <wps:cNvPr id="66" name="直接箭头连接符 32"/>
                        <wps:cNvCnPr/>
                        <wps:spPr>
                          <a:xfrm>
                            <a:off x="4874" y="11246"/>
                            <a:ext cx="1" cy="349"/>
                          </a:xfrm>
                          <a:prstGeom prst="straightConnector1">
                            <a:avLst/>
                          </a:prstGeom>
                          <a:ln w="9525" cap="flat" cmpd="sng">
                            <a:solidFill>
                              <a:srgbClr val="000000"/>
                            </a:solidFill>
                            <a:prstDash val="solid"/>
                            <a:headEnd type="none" w="med" len="med"/>
                            <a:tailEnd type="triangle" w="med" len="med"/>
                          </a:ln>
                        </wps:spPr>
                        <wps:bodyPr/>
                      </wps:wsp>
                      <wps:wsp>
                        <wps:cNvPr id="67" name="矩形 33"/>
                        <wps:cNvSpPr/>
                        <wps:spPr>
                          <a:xfrm>
                            <a:off x="4725" y="4410"/>
                            <a:ext cx="2016" cy="7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pPr>
                              <w:r>
                                <w:rPr>
                                  <w:rFonts w:hint="eastAsia"/>
                                </w:rPr>
                                <w:t>由沙坪坝区防汛抗旱指挥部发布</w:t>
                              </w:r>
                            </w:p>
                            <w:p>
                              <w:pPr>
                                <w:pStyle w:val="19"/>
                              </w:pPr>
                            </w:p>
                          </w:txbxContent>
                        </wps:txbx>
                        <wps:bodyPr upright="true"/>
                      </wps:wsp>
                      <wps:wsp>
                        <wps:cNvPr id="68" name="直接箭头连接符 34"/>
                        <wps:cNvCnPr/>
                        <wps:spPr>
                          <a:xfrm>
                            <a:off x="5880" y="5148"/>
                            <a:ext cx="2" cy="435"/>
                          </a:xfrm>
                          <a:prstGeom prst="straightConnector1">
                            <a:avLst/>
                          </a:prstGeom>
                          <a:ln w="9525" cap="flat" cmpd="sng">
                            <a:solidFill>
                              <a:srgbClr val="000000"/>
                            </a:solidFill>
                            <a:prstDash val="solid"/>
                            <a:headEnd type="none" w="med" len="med"/>
                            <a:tailEnd type="triangle" w="med" len="med"/>
                          </a:ln>
                        </wps:spPr>
                        <wps:bodyPr/>
                      </wps:wsp>
                      <wps:wsp>
                        <wps:cNvPr id="69" name="矩形 35"/>
                        <wps:cNvSpPr/>
                        <wps:spPr>
                          <a:xfrm>
                            <a:off x="4410" y="5617"/>
                            <a:ext cx="2730" cy="35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9"/>
                                <w:jc w:val="both"/>
                              </w:pPr>
                              <w:r>
                                <w:rPr>
                                  <w:rFonts w:hint="eastAsia"/>
                                </w:rPr>
                                <w:t>Ⅱ级：沙坪坝区防汛抗旱指挥部副指挥长主持会商，作出相应工作安排，</w:t>
                              </w:r>
                              <w:r>
                                <w:rPr>
                                  <w:rFonts w:cs="Times New Roman"/>
                                </w:rPr>
                                <w:t>立即启动防汛应急预案，第一时间派出工作组赴受灾地区加强指导</w:t>
                              </w:r>
                              <w:r>
                                <w:rPr>
                                  <w:rFonts w:hint="eastAsia"/>
                                </w:rPr>
                                <w:t>。Ⅲ级：沙坪坝区防汛抗旱指挥部副指挥长主持会商，作出相应工作安排，</w:t>
                              </w:r>
                              <w:r>
                                <w:rPr>
                                  <w:rFonts w:cs="Times New Roman"/>
                                </w:rPr>
                                <w:t>立即启动防汛应急预案，第一时间派出工作组赴受灾地区加强指导。</w:t>
                              </w:r>
                            </w:p>
                          </w:txbxContent>
                        </wps:txbx>
                        <wps:bodyPr lIns="35941" tIns="35941" rIns="35941" bIns="35941" upright="true"/>
                      </wps:wsp>
                      <wps:wsp>
                        <wps:cNvPr id="70" name="直接连接符 36"/>
                        <wps:cNvSpPr/>
                        <wps:spPr>
                          <a:xfrm>
                            <a:off x="5880" y="9203"/>
                            <a:ext cx="1" cy="313"/>
                          </a:xfrm>
                          <a:prstGeom prst="line">
                            <a:avLst/>
                          </a:prstGeom>
                          <a:ln w="9525" cap="flat" cmpd="sng">
                            <a:solidFill>
                              <a:srgbClr val="000000"/>
                            </a:solidFill>
                            <a:prstDash val="solid"/>
                            <a:headEnd type="none" w="med" len="med"/>
                            <a:tailEnd type="none" w="med" len="med"/>
                          </a:ln>
                        </wps:spPr>
                        <wps:bodyPr upright="true"/>
                      </wps:wsp>
                      <wps:wsp>
                        <wps:cNvPr id="71" name="直接箭头连接符 37"/>
                        <wps:cNvCnPr/>
                        <wps:spPr>
                          <a:xfrm>
                            <a:off x="4935" y="9516"/>
                            <a:ext cx="1" cy="349"/>
                          </a:xfrm>
                          <a:prstGeom prst="straightConnector1">
                            <a:avLst/>
                          </a:prstGeom>
                          <a:ln w="9525" cap="flat" cmpd="sng">
                            <a:solidFill>
                              <a:srgbClr val="000000"/>
                            </a:solidFill>
                            <a:prstDash val="solid"/>
                            <a:headEnd type="none" w="med" len="med"/>
                            <a:tailEnd type="triangle" w="med" len="med"/>
                          </a:ln>
                        </wps:spPr>
                        <wps:bodyPr/>
                      </wps:wsp>
                      <wps:wsp>
                        <wps:cNvPr id="72" name="直接箭头连接符 38"/>
                        <wps:cNvCnPr/>
                        <wps:spPr>
                          <a:xfrm>
                            <a:off x="8280" y="3695"/>
                            <a:ext cx="7" cy="715"/>
                          </a:xfrm>
                          <a:prstGeom prst="straightConnector1">
                            <a:avLst/>
                          </a:prstGeom>
                          <a:ln w="9525" cap="flat" cmpd="sng">
                            <a:solidFill>
                              <a:srgbClr val="000000"/>
                            </a:solidFill>
                            <a:prstDash val="solid"/>
                            <a:headEnd type="none" w="med" len="med"/>
                            <a:tailEnd type="triangle" w="med" len="med"/>
                          </a:ln>
                        </wps:spPr>
                        <wps:bodyPr/>
                      </wps:wsp>
                      <wps:wsp>
                        <wps:cNvPr id="73" name="直接箭头连接符 39"/>
                        <wps:cNvCnPr/>
                        <wps:spPr>
                          <a:xfrm>
                            <a:off x="1177" y="3635"/>
                            <a:ext cx="7" cy="715"/>
                          </a:xfrm>
                          <a:prstGeom prst="straightConnector1">
                            <a:avLst/>
                          </a:prstGeom>
                          <a:ln w="9525" cap="flat" cmpd="sng">
                            <a:solidFill>
                              <a:srgbClr val="000000"/>
                            </a:solidFill>
                            <a:prstDash val="solid"/>
                            <a:headEnd type="none" w="med" len="med"/>
                            <a:tailEnd type="triangle" w="med" len="med"/>
                          </a:ln>
                        </wps:spPr>
                        <wps:bodyPr/>
                      </wps:wsp>
                    </wpg:wgp>
                  </a:graphicData>
                </a:graphic>
              </wp:inline>
            </w:drawing>
          </mc:Choice>
          <mc:Fallback>
            <w:pict>
              <v:group id="组合 40" o:spid="_x0000_s1026" o:spt="203" style="height:605.2pt;width:424.55pt;" coordsize="9405,12420" o:gfxdata="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">
                <o:lock v:ext="edit" aspectratio="f"/>
                <v:rect id="矩形 4" o:spid="_x0000_s1026" o:spt="1" style="position:absolute;left:0;top:0;height:12420;width:9405;" filled="f" stroked="f" coordsize="21600,21600" o:gfxdata="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X89Ha7AAAA2wAAAA8AAAAAAAAAAQAgAAAAOAAAAGRycy9kb3ducmV2Lnht&#10;bFBLAQIUABQAAAAIAIdO4kAzLwWeOwAAADkAAAAQAAAAAAAAAAEAIAAAACABAABkcnMvc2hhcGV4&#10;bWwueG1sUEsFBgAAAAAGAAYAWwEAAMoDAAAAAA==&#10;">
                  <v:fill on="f" focussize="0,0"/>
                  <v:stroke on="f"/>
                  <v:imagedata o:title=""/>
                  <o:lock v:ext="edit" aspectratio="f"/>
                </v:rect>
                <v:rect id="Rectangle 1139" o:spid="_x0000_s1026" o:spt="1" style="position:absolute;left:4580;top:1773;height:507;width:989;" fillcolor="#FFFFFF" filled="t" stroked="t" coordsize="21600,21600" o:gfxdata="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YAnhL0AAADbAAAADwAAAAAAAAABACAAAAA4AAAAZHJzL2Rvd25yZXYu&#10;eG1sUEsBAhQAFAAAAAgAh07iQDMvBZ47AAAAOQAAABAAAAAAAAAAAQAgAAAAIgEAAGRycy9zaGFw&#10;ZXhtbC54bWxQSwUGAAAAAAYABgBbAQAAzAMAAAAA&#10;">
                  <v:fill on="t" focussize="0,0"/>
                  <v:stroke color="#FFFFFF" joinstyle="miter"/>
                  <v:imagedata o:title=""/>
                  <o:lock v:ext="edit" aspectratio="f"/>
                  <v:textbox>
                    <w:txbxContent>
                      <w:p>
                        <w:pPr>
                          <w:pStyle w:val="19"/>
                        </w:pPr>
                        <w:r>
                          <w:rPr>
                            <w:rFonts w:hint="eastAsia"/>
                          </w:rPr>
                          <w:t>上报</w:t>
                        </w:r>
                      </w:p>
                    </w:txbxContent>
                  </v:textbox>
                </v:rect>
                <v:rect id="矩形 6" o:spid="_x0000_s1026" o:spt="1" style="position:absolute;left:3081;top:535;height:419;width:2789;" fillcolor="#FFFFFF" filled="t" stroked="t" coordsize="21600,21600" o:gfxdata="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li8xjLoAAADb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pStyle w:val="19"/>
                        </w:pPr>
                        <w:r>
                          <w:rPr>
                            <w:rFonts w:hint="eastAsia"/>
                          </w:rPr>
                          <w:t>突发事件发生</w:t>
                        </w:r>
                      </w:p>
                    </w:txbxContent>
                  </v:textbox>
                </v:rect>
                <v:rect id="矩形 7" o:spid="_x0000_s1026" o:spt="1" style="position:absolute;left:2996;top:1390;height:422;width:3484;" fillcolor="#FFFFFF" filled="t" stroked="t" coordsize="21600,21600" o:gfxdata="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OUF7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rPr>
                            <w:szCs w:val="21"/>
                          </w:rPr>
                        </w:pPr>
                        <w:r>
                          <w:rPr>
                            <w:rFonts w:hint="eastAsia"/>
                            <w:szCs w:val="21"/>
                          </w:rPr>
                          <w:t>沙坪坝区水库管理站确认</w:t>
                        </w:r>
                      </w:p>
                    </w:txbxContent>
                  </v:textbox>
                </v:rect>
                <v:rect id="矩形 8" o:spid="_x0000_s1026" o:spt="1" style="position:absolute;left:3478;top:9925;height:420;width:2789;" fillcolor="#FFFFFF" filled="t" stroked="t" coordsize="21600,21600" o:gfxdata="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bEKYL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pPr>
                        <w:r>
                          <w:rPr>
                            <w:rFonts w:hint="eastAsia"/>
                          </w:rPr>
                          <w:t>应急处置</w:t>
                        </w:r>
                      </w:p>
                    </w:txbxContent>
                  </v:textbox>
                </v:rect>
                <v:rect id="矩形 9" o:spid="_x0000_s1026" o:spt="1" style="position:absolute;left:3478;top:11595;height:422;width:2789;" fillcolor="#FFFFFF" filled="t" stroked="t" coordsize="21600,21600" o:gfxdata="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v2v+7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pPr>
                        <w:r>
                          <w:rPr>
                            <w:rFonts w:hint="eastAsia"/>
                          </w:rPr>
                          <w:t>应急结束</w:t>
                        </w:r>
                      </w:p>
                    </w:txbxContent>
                  </v:textbox>
                </v:rect>
                <v:shape id="直接箭头连接符 10" o:spid="_x0000_s1026" o:spt="32" type="#_x0000_t32" style="position:absolute;left:4478;top:954;height:436;width:2;" filled="f" stroked="t" coordsize="21600,21600" o:gfxdata="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MEwOS+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11" o:spid="_x0000_s1026" o:spt="32" type="#_x0000_t32" style="position:absolute;left:4736;top:1812;flip:x;height:393;width:2;" filled="f" stroked="t" coordsize="21600,21600" o:gfxdata="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Dkw0b0AAADb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shape>
                <v:rect id="矩形 12" o:spid="_x0000_s1026" o:spt="1" style="position:absolute;left:2309;top:2280;height:419;width:4381;" fillcolor="#FFFFFF" filled="t" stroked="t" coordsize="21600,21600" o:gfxdata="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2igxj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pStyle w:val="19"/>
                        </w:pPr>
                        <w:r>
                          <w:rPr>
                            <w:rFonts w:hint="eastAsia"/>
                          </w:rPr>
                          <w:t>沙坪坝区防汛抗旱指挥部确认险情级别</w:t>
                        </w:r>
                      </w:p>
                    </w:txbxContent>
                  </v:textbox>
                </v:rect>
                <v:rect id="矩形 13" o:spid="_x0000_s1026" o:spt="1" style="position:absolute;left:543;top:3211;height:419;width:1436;" fillcolor="#FFFFFF" filled="t" stroked="t" coordsize="21600,21600" o:gfxdata="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cap+L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pStyle w:val="19"/>
                        </w:pPr>
                        <w:r>
                          <w:rPr>
                            <w:rFonts w:hint="eastAsia"/>
                          </w:rPr>
                          <w:t>Ⅰ级响应</w:t>
                        </w:r>
                      </w:p>
                    </w:txbxContent>
                  </v:textbox>
                </v:rect>
                <v:rect id="矩形 14" o:spid="_x0000_s1026" o:spt="1" style="position:absolute;left:2965;top:3211;height:419;width:1449;" fillcolor="#FFFFFF" filled="t" stroked="t" coordsize="21600,21600" o:gfxdata="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aFk9iroAAADb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pStyle w:val="19"/>
                          <w:rPr>
                            <w:color w:val="000000"/>
                            <w:szCs w:val="21"/>
                          </w:rPr>
                        </w:pPr>
                        <w:r>
                          <w:rPr>
                            <w:rFonts w:hint="eastAsia"/>
                          </w:rPr>
                          <w:t>Ⅱ级响应</w:t>
                        </w:r>
                      </w:p>
                    </w:txbxContent>
                  </v:textbox>
                </v:rect>
                <v:rect id="矩形 15" o:spid="_x0000_s1026" o:spt="1" style="position:absolute;left:5402;top:3211;height:419;width:1439;" fillcolor="#FFFFFF" filled="t" stroked="t" coordsize="21600,21600" o:gfxdata="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cVmBG+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pStyle w:val="19"/>
                        </w:pPr>
                        <w:r>
                          <w:rPr>
                            <w:rFonts w:hint="eastAsia"/>
                          </w:rPr>
                          <w:t>Ⅲ级响应</w:t>
                        </w:r>
                      </w:p>
                    </w:txbxContent>
                  </v:textbox>
                </v:rect>
                <v:rect id="矩形 16" o:spid="_x0000_s1026" o:spt="1" style="position:absolute;left:7665;top:3276;height:419;width:1441;" fillcolor="#FFFFFF" filled="t" stroked="t" coordsize="21600,21600" o:gfxdata="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E/anUboAAADb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pStyle w:val="19"/>
                        </w:pPr>
                        <w:r>
                          <w:rPr>
                            <w:rFonts w:hint="eastAsia"/>
                          </w:rPr>
                          <w:t>Ⅳ级响应</w:t>
                        </w:r>
                      </w:p>
                    </w:txbxContent>
                  </v:textbox>
                </v:rect>
                <v:shape id="肘形连接符 17" o:spid="_x0000_s1026" o:spt="34" type="#_x0000_t34" style="position:absolute;left:4766;top:-344;flip:y;height:7125;width:65;rotation:-5898240f;" filled="f" stroked="t" coordsize="21600,21600" o:gfxdata="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ITmEy+AAAA2wAAAA8AAAAAAAAAAQAgAAAAOAAAAGRycy9kb3ducmV2&#10;LnhtbFBLAQIUABQAAAAIAIdO4kAzLwWeOwAAADkAAAAQAAAAAAAAAAEAIAAAACMBAABkcnMvc2hh&#10;cGV4bWwueG1sUEsFBgAAAAAGAAYAWwEAAM0DAAAAAA==&#10;" adj="0">
                  <v:fill on="f" focussize="0,0"/>
                  <v:stroke color="#000000" joinstyle="miter"/>
                  <v:imagedata o:title=""/>
                  <o:lock v:ext="edit" aspectratio="f"/>
                </v:shape>
                <v:shape id="直接箭头连接符 18" o:spid="_x0000_s1026" o:spt="32" type="#_x0000_t32" style="position:absolute;left:4500;top:2699;height:122;width:1;" filled="f" stroked="t" coordsize="21600,21600" o:gfxdata="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bxUTL0AAADbAAAADwAAAAAAAAABACAAAAA4AAAAZHJzL2Rvd25yZXYu&#10;eG1sUEsBAhQAFAAAAAgAh07iQDMvBZ47AAAAOQAAABAAAAAAAAAAAQAgAAAAIgEAAGRycy9zaGFw&#10;ZXhtbC54bWxQSwUGAAAAAAYABgBbAQAAzAMAAAAA&#10;">
                  <v:fill on="f" focussize="0,0"/>
                  <v:stroke color="#000000" joinstyle="round"/>
                  <v:imagedata o:title=""/>
                  <o:lock v:ext="edit" aspectratio="f"/>
                </v:shape>
                <v:shape id="直接箭头连接符 19" o:spid="_x0000_s1026" o:spt="32" type="#_x0000_t32" style="position:absolute;left:3690;top:2821;flip:y;height:390;width:1;" filled="f" stroked="t" coordsize="21600,21600" o:gfxdata="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bSV167AAAA2wAAAA8AAAAAAAAAAQAgAAAAOAAAAGRycy9kb3ducmV2Lnht&#10;bFBLAQIUABQAAAAIAIdO4kAzLwWeOwAAADkAAAAQAAAAAAAAAAEAIAAAACABAABkcnMvc2hhcGV4&#10;bWwueG1sUEsFBgAAAAAGAAYAWwEAAMoDAAAAAA==&#10;">
                  <v:fill on="f" focussize="0,0"/>
                  <v:stroke color="#000000" joinstyle="round"/>
                  <v:imagedata o:title=""/>
                  <o:lock v:ext="edit" aspectratio="f"/>
                </v:shape>
                <v:shape id="直接箭头连接符 20" o:spid="_x0000_s1026" o:spt="32" type="#_x0000_t32" style="position:absolute;left:6122;top:2821;flip:y;height:390;width:1;" filled="f" stroked="t" coordsize="21600,21600" o:gfxdata="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k7zyq7AAAA2wAAAA8AAAAAAAAAAQAgAAAAOAAAAGRycy9kb3ducmV2Lnht&#10;bFBLAQIUABQAAAAIAIdO4kAzLwWeOwAAADkAAAAQAAAAAAAAAAEAIAAAACABAABkcnMvc2hhcGV4&#10;bWwueG1sUEsFBgAAAAAGAAYAWwEAAMoDAAAAAA==&#10;">
                  <v:fill on="f" focussize="0,0"/>
                  <v:stroke color="#000000" joinstyle="round"/>
                  <v:imagedata o:title=""/>
                  <o:lock v:ext="edit" aspectratio="f"/>
                </v:shape>
                <v:shape id="直接箭头连接符 21" o:spid="_x0000_s1026" o:spt="32" type="#_x0000_t32" style="position:absolute;left:5564;top:3915;height:436;width:1;" filled="f" stroked="t" coordsize="21600,21600" o:gfxdata="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mR86K+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22" o:spid="_x0000_s1026" o:spt="32" type="#_x0000_t32" style="position:absolute;left:2490;top:5178;height:436;width:2;" filled="f" stroked="t" coordsize="21600,21600" o:gfxdata="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pQ23V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shape>
                <v:shape id="肘形连接符 23" o:spid="_x0000_s1026" o:spt="34" type="#_x0000_t34" style="position:absolute;left:4872;top:2381;height:2432;width:1;rotation:5898240f;" filled="f" stroked="t" coordsize="21600,21600" o:gfxdata="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ee9TavAAAANsAAAAPAAAAAAAAAAEAIAAAADgAAABkcnMvZG93bnJldi54&#10;bWxQSwECFAAUAAAACACHTuJAMy8FnjsAAAA5AAAAEAAAAAAAAAABACAAAAAhAQAAZHJzL3NoYXBl&#10;eG1sLnhtbFBLBQYAAAAABgAGAFsBAADLAwAAAAA=&#10;" adj="6134400">
                  <v:fill on="f" focussize="0,0"/>
                  <v:stroke color="#000000" joinstyle="miter"/>
                  <v:imagedata o:title=""/>
                  <o:lock v:ext="edit" aspectratio="f"/>
                </v:shape>
                <v:rect id="矩形 24" o:spid="_x0000_s1026" o:spt="1" style="position:absolute;left:105;top:4410;height:768;width:4410;" fillcolor="#FFFFFF" filled="t" stroked="t" coordsize="21600,21600" o:gfxdata="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7YCrV7oAAADb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pStyle w:val="19"/>
                        </w:pPr>
                        <w:r>
                          <w:rPr>
                            <w:rFonts w:hint="eastAsia"/>
                          </w:rPr>
                          <w:t>由沙坪坝区防汛抗旱指挥部发布</w:t>
                        </w:r>
                      </w:p>
                    </w:txbxContent>
                  </v:textbox>
                </v:rect>
                <v:rect id="矩形 25" o:spid="_x0000_s1026" o:spt="1" style="position:absolute;left:7169;top:4410;height:738;width:2236;" fillcolor="#FFFFFF" filled="t" stroked="t" coordsize="21600,21600" o:gfxdata="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LMDsy+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pStyle w:val="19"/>
                        </w:pPr>
                        <w:r>
                          <w:rPr>
                            <w:rFonts w:hint="eastAsia"/>
                          </w:rPr>
                          <w:t>由沙坪坝区防汛抗旱指挥部发布</w:t>
                        </w:r>
                      </w:p>
                    </w:txbxContent>
                  </v:textbox>
                </v:rect>
                <v:shape id="直接箭头连接符 26" o:spid="_x0000_s1026" o:spt="32" type="#_x0000_t32" style="position:absolute;left:8400;top:5148;height:436;width:1;" filled="f" stroked="t" coordsize="21600,21600" o:gfxdata="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R4qah7oAAADbAAAADwAAAAAAAAABACAAAAA4AAAAZHJzL2Rvd25yZXYueG1s&#10;UEsBAhQAFAAAAAgAh07iQDMvBZ47AAAAOQAAABAAAAAAAAAAAQAgAAAAHwEAAGRycy9zaGFwZXht&#10;bC54bWxQSwUGAAAAAAYABgBbAQAAyQMAAAAA&#10;">
                  <v:fill on="f" focussize="0,0"/>
                  <v:stroke color="#000000" joinstyle="round" endarrow="block"/>
                  <v:imagedata o:title=""/>
                  <o:lock v:ext="edit" aspectratio="f"/>
                </v:shape>
                <v:rect id="矩形 27" o:spid="_x0000_s1026" o:spt="1" style="position:absolute;left:0;top:5617;height:3586;width:4304;" fillcolor="#FFFFFF" filled="t" stroked="t" coordsize="21600,21600" o:gfxdata="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eU3dH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inset="0.998361111111111mm,0.998361111111111mm,0.998361111111111mm,0.998361111111111mm">
                    <w:txbxContent>
                      <w:p>
                        <w:pPr>
                          <w:pStyle w:val="19"/>
                          <w:jc w:val="both"/>
                        </w:pPr>
                        <w:r>
                          <w:rPr>
                            <w:rFonts w:hint="eastAsia"/>
                          </w:rPr>
                          <w:t>Ⅰ级：</w:t>
                        </w:r>
                        <w:r>
                          <w:rPr>
                            <w:rFonts w:cs="Times New Roman"/>
                          </w:rPr>
                          <w:t>沙坪坝区防汛抗旱指挥部指挥长主持会商，作出抢险救灾工作部署，并及时将防汛工作情况收集汇总后上报重庆市防汛抗旱指挥部，立即启动防汛应急预案，第一时间派出工作组赴受灾地区加强指导，并成立由沙坪坝区人民政府、沙坪坝区防汛抗旱指挥部、青木关镇人民政府、</w:t>
                        </w:r>
                        <w:r>
                          <w:rPr>
                            <w:rFonts w:hint="eastAsia" w:cs="Times New Roman"/>
                          </w:rPr>
                          <w:t>凤凰镇人民政府</w:t>
                        </w:r>
                        <w:r>
                          <w:rPr>
                            <w:rFonts w:cs="Times New Roman"/>
                          </w:rPr>
                          <w:t>等单位组成的抗洪抢险救灾现场指挥部，负责抗洪抢险救灾的具体处置工作</w:t>
                        </w:r>
                        <w:r>
                          <w:rPr>
                            <w:rFonts w:cs="Times New Roman"/>
                            <w:szCs w:val="28"/>
                          </w:rPr>
                          <w:t>。</w:t>
                        </w:r>
                      </w:p>
                    </w:txbxContent>
                  </v:textbox>
                </v:rect>
                <v:rect id="矩形 28" o:spid="_x0000_s1026" o:spt="1" style="position:absolute;left:7276;top:5655;height:3480;width:2053;" fillcolor="#FFFFFF" filled="t" stroked="t" coordsize="21600,21600" o:gfxdata="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ugekw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inset="0.998361111111111mm,0.998361111111111mm,0.998361111111111mm,0.998361111111111mm">
                    <w:txbxContent>
                      <w:p>
                        <w:pPr>
                          <w:pStyle w:val="19"/>
                          <w:jc w:val="both"/>
                        </w:pPr>
                        <w:r>
                          <w:rPr>
                            <w:rFonts w:hint="eastAsia"/>
                          </w:rPr>
                          <w:t>Ⅳ级：</w:t>
                        </w:r>
                        <w:r>
                          <w:rPr>
                            <w:rFonts w:cs="Times New Roman"/>
                          </w:rPr>
                          <w:t>沙坪坝区农业农村委员会主要领导</w:t>
                        </w:r>
                        <w:r>
                          <w:rPr>
                            <w:rFonts w:hint="eastAsia"/>
                          </w:rPr>
                          <w:t>主持会商，</w:t>
                        </w:r>
                        <w:r>
                          <w:rPr>
                            <w:rFonts w:cs="Times New Roman"/>
                          </w:rPr>
                          <w:t>作出相应工作安排，加强对汛情的监视和对防汛工作的指导，并及时将防汛工作情况收集汇总后上报沙坪坝区防汛抗旱指挥部。</w:t>
                        </w:r>
                      </w:p>
                    </w:txbxContent>
                  </v:textbox>
                </v:rect>
                <v:shape id="肘形连接符 29" o:spid="_x0000_s1026" o:spt="34" type="#_x0000_t34" style="position:absolute;left:5160;top:6060;flip:x y;height:6151;width:68;rotation:5898240f;" filled="f" stroked="t" coordsize="21600,21600" o:gfxdata="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LeL6L0AAADbAAAADwAAAAAAAAABACAAAAA4AAAAZHJzL2Rvd25yZXYu&#10;eG1sUEsBAhQAFAAAAAgAh07iQDMvBZ47AAAAOQAAABAAAAAAAAAAAQAgAAAAIgEAAGRycy9zaGFw&#10;ZXhtbC54bWxQSwUGAAAAAAYABgBbAQAAzAMAAAAA&#10;" adj="0">
                  <v:fill on="f" focussize="0,0"/>
                  <v:stroke color="#000000" joinstyle="miter"/>
                  <v:imagedata o:title=""/>
                  <o:lock v:ext="edit" aspectratio="f"/>
                </v:shape>
                <v:rect id="矩形 30" o:spid="_x0000_s1026" o:spt="1" style="position:absolute;left:3478;top:10695;height:420;width:2789;" fillcolor="#FFFFFF" filled="t" stroked="t" coordsize="21600,21600" o:gfxdata="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ioWvv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pStyle w:val="19"/>
                        </w:pPr>
                        <w:r>
                          <w:rPr>
                            <w:rFonts w:hint="eastAsia"/>
                          </w:rPr>
                          <w:t>现场险情处置</w:t>
                        </w:r>
                      </w:p>
                    </w:txbxContent>
                  </v:textbox>
                </v:rect>
                <v:shape id="直接箭头连接符 31" o:spid="_x0000_s1026" o:spt="32" type="#_x0000_t32" style="position:absolute;left:4873;top:10345;height:350;width:1;" filled="f" stroked="t" coordsize="21600,21600" o:gfxdata="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Tkf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shape>
                <v:shape id="直接箭头连接符 32" o:spid="_x0000_s1026" o:spt="32" type="#_x0000_t32" style="position:absolute;left:4874;top:11246;height:349;width:1;" filled="f" stroked="t" coordsize="21600,21600" o:gfxdata="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cvp2i+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rect id="矩形 33" o:spid="_x0000_s1026" o:spt="1" style="position:absolute;left:4725;top:4410;height:768;width:2016;" fillcolor="#FFFFFF" filled="t" stroked="t" coordsize="21600,21600" o:gfxdata="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Jz9Zi+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pStyle w:val="19"/>
                        </w:pPr>
                        <w:r>
                          <w:rPr>
                            <w:rFonts w:hint="eastAsia"/>
                          </w:rPr>
                          <w:t>由沙坪坝区防汛抗旱指挥部发布</w:t>
                        </w:r>
                      </w:p>
                      <w:p>
                        <w:pPr>
                          <w:pStyle w:val="19"/>
                        </w:pPr>
                      </w:p>
                    </w:txbxContent>
                  </v:textbox>
                </v:rect>
                <v:shape id="直接箭头连接符 34" o:spid="_x0000_s1026" o:spt="32" type="#_x0000_t32" style="position:absolute;left:5880;top:5148;height:435;width:2;" filled="f" stroked="t" coordsize="21600,21600" o:gfxdata="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ufyWgboAAADbAAAADwAAAAAAAAABACAAAAA4AAAAZHJzL2Rvd25yZXYueG1s&#10;UEsBAhQAFAAAAAgAh07iQDMvBZ47AAAAOQAAABAAAAAAAAAAAQAgAAAAHwEAAGRycy9zaGFwZXht&#10;bC54bWxQSwUGAAAAAAYABgBbAQAAyQMAAAAA&#10;">
                  <v:fill on="f" focussize="0,0"/>
                  <v:stroke color="#000000" joinstyle="round" endarrow="block"/>
                  <v:imagedata o:title=""/>
                  <o:lock v:ext="edit" aspectratio="f"/>
                </v:shape>
                <v:rect id="矩形 35" o:spid="_x0000_s1026" o:spt="1" style="position:absolute;left:4410;top:5617;height:3586;width:2730;" fillcolor="#FFFFFF" filled="t" stroked="t" coordsize="21600,21600" o:gfxdata="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CV7Qb0AAADbAAAADwAAAAAAAAABACAAAAA4AAAAZHJzL2Rvd25yZXYu&#10;eG1sUEsBAhQAFAAAAAgAh07iQDMvBZ47AAAAOQAAABAAAAAAAAAAAQAgAAAAIgEAAGRycy9zaGFw&#10;ZXhtbC54bWxQSwUGAAAAAAYABgBbAQAAzAMAAAAA&#10;">
                  <v:fill on="t" focussize="0,0"/>
                  <v:stroke color="#000000" joinstyle="miter"/>
                  <v:imagedata o:title=""/>
                  <o:lock v:ext="edit" aspectratio="f"/>
                  <v:textbox inset="0.998361111111111mm,0.998361111111111mm,0.998361111111111mm,0.998361111111111mm">
                    <w:txbxContent>
                      <w:p>
                        <w:pPr>
                          <w:pStyle w:val="19"/>
                          <w:jc w:val="both"/>
                        </w:pPr>
                        <w:r>
                          <w:rPr>
                            <w:rFonts w:hint="eastAsia"/>
                          </w:rPr>
                          <w:t>Ⅱ级：沙坪坝区防汛抗旱指挥部副指挥长主持会商，作出相应工作安排，</w:t>
                        </w:r>
                        <w:r>
                          <w:rPr>
                            <w:rFonts w:cs="Times New Roman"/>
                          </w:rPr>
                          <w:t>立即启动防汛应急预案，第一时间派出工作组赴受灾地区加强指导</w:t>
                        </w:r>
                        <w:r>
                          <w:rPr>
                            <w:rFonts w:hint="eastAsia"/>
                          </w:rPr>
                          <w:t>。Ⅲ级：沙坪坝区防汛抗旱指挥部副指挥长主持会商，作出相应工作安排，</w:t>
                        </w:r>
                        <w:r>
                          <w:rPr>
                            <w:rFonts w:cs="Times New Roman"/>
                          </w:rPr>
                          <w:t>立即启动防汛应急预案，第一时间派出工作组赴受灾地区加强指导。</w:t>
                        </w:r>
                      </w:p>
                    </w:txbxContent>
                  </v:textbox>
                </v:rect>
                <v:line id="直接连接符 36" o:spid="_x0000_s1026" o:spt="20" style="position:absolute;left:5880;top:9203;height:313;width:1;" filled="f" stroked="t" coordsize="21600,21600" o:gfxdata="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uM1CLoAAADbAAAADwAAAAAAAAABACAAAAA4AAAAZHJzL2Rvd25yZXYueG1s&#10;UEsBAhQAFAAAAAgAh07iQDMvBZ47AAAAOQAAABAAAAAAAAAAAQAgAAAAHwEAAGRycy9zaGFwZXht&#10;bC54bWxQSwUGAAAAAAYABgBbAQAAyQMAAAAA&#10;">
                  <v:fill on="f" focussize="0,0"/>
                  <v:stroke color="#000000" joinstyle="round"/>
                  <v:imagedata o:title=""/>
                  <o:lock v:ext="edit" aspectratio="f"/>
                </v:line>
                <v:shape id="直接箭头连接符 37" o:spid="_x0000_s1026" o:spt="32" type="#_x0000_t32" style="position:absolute;left:4935;top:9516;height:349;width:1;" filled="f" stroked="t" coordsize="21600,21600" o:gfxdata="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0fqcG+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38" o:spid="_x0000_s1026" o:spt="32" type="#_x0000_t32" style="position:absolute;left:8280;top:3695;height:715;width:7;" filled="f" stroked="t" coordsize="21600,21600" o:gfxdata="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3NN7a+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v:shape id="直接箭头连接符 39" o:spid="_x0000_s1026" o:spt="32" type="#_x0000_t32" style="position:absolute;left:1177;top:3635;height:715;width:7;" filled="f" stroked="t" coordsize="21600,21600" o:gfxdata="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KBki2+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shape>
                <w10:wrap type="none"/>
                <w10:anchorlock/>
              </v:group>
            </w:pict>
          </mc:Fallback>
        </mc:AlternateContent>
      </w:r>
    </w:p>
    <w:sectPr>
      <w:pgSz w:w="11905" w:h="16838"/>
      <w:pgMar w:top="1417" w:right="1502" w:bottom="1417" w:left="1502" w:header="850" w:footer="992" w:gutter="0"/>
      <w:cols w:space="0" w:num="1"/>
      <w:docGrid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single" w:color="auto" w:sz="4" w:space="1"/>
      </w:pBdr>
    </w:pPr>
    <w:r>
      <w:rPr>
        <w:rFonts w:hint="eastAsia"/>
      </w:rPr>
      <w:t xml:space="preserve">精佳建设工程集团有限公司 </w:t>
    </w:r>
    <w:r>
      <w:t xml:space="preserve">  ADD</w:t>
    </w:r>
    <w:r>
      <w:rPr>
        <w:rFonts w:hint="eastAsia"/>
      </w:rPr>
      <w:t>：重庆市九龙坡区科园三路1号3</w:t>
    </w:r>
    <w:r>
      <w:t>F   TEL</w:t>
    </w:r>
    <w:r>
      <w:rPr>
        <w:rFonts w:hint="eastAsia"/>
      </w:rPr>
      <w:t>：0</w:t>
    </w:r>
    <w:r>
      <w:t xml:space="preserve">23-68185237              </w:t>
    </w:r>
    <w:r>
      <w:fldChar w:fldCharType="begin"/>
    </w:r>
    <w:r>
      <w:instrText xml:space="preserve">PAGE   \* MERGEFORMAT</w:instrText>
    </w:r>
    <w:r>
      <w:fldChar w:fldCharType="separate"/>
    </w:r>
    <w:r>
      <w:t>62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3"/>
      </w:rPr>
    </w:pPr>
    <w:r>
      <w:fldChar w:fldCharType="begin"/>
    </w:r>
    <w:r>
      <w:rPr>
        <w:rStyle w:val="13"/>
      </w:rPr>
      <w:instrText xml:space="preserve">PAGE  </w:instrText>
    </w:r>
    <w: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single" w:color="000000" w:sz="4" w:space="1"/>
      </w:pBdr>
      <w:tabs>
        <w:tab w:val="center" w:pos="4451"/>
        <w:tab w:val="clear" w:pos="4153"/>
        <w:tab w:val="clear" w:pos="8306"/>
      </w:tabs>
    </w:pPr>
    <w:r>
      <w:tab/>
    </w:r>
    <w:r>
      <w:fldChar w:fldCharType="begin"/>
    </w:r>
    <w:r>
      <w:instrText xml:space="preserve"> PAGE   \* MERGEFORMAT </w:instrText>
    </w:r>
    <w:r>
      <w:fldChar w:fldCharType="separate"/>
    </w:r>
    <w:r>
      <w:rPr>
        <w:lang w:val="zh-CN"/>
      </w:rPr>
      <w:t>2</w:t>
    </w:r>
    <w:r>
      <w:fldChar w:fldCharType="end"/>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3"/>
      </w:rPr>
    </w:pPr>
    <w:r>
      <w:fldChar w:fldCharType="begin"/>
    </w:r>
    <w:r>
      <w:rPr>
        <w:rStyle w:val="13"/>
      </w:rPr>
      <w:instrText xml:space="preserve">PAGE  </w:instrText>
    </w:r>
    <w:r>
      <w:fldChar w:fldCharType="separate"/>
    </w:r>
    <w:r>
      <w:rPr>
        <w:rStyle w:val="13"/>
      </w:rPr>
      <w:t>53</w:t>
    </w:r>
    <w:r>
      <w:fldChar w:fldCharType="end"/>
    </w:r>
  </w:p>
  <w:p>
    <w:pPr>
      <w:pStyle w:val="6"/>
      <w:pBdr>
        <w:top w:val="single" w:color="000000" w:sz="4" w:space="1"/>
      </w:pBdr>
      <w:tabs>
        <w:tab w:val="center" w:pos="4451"/>
        <w:tab w:val="clear" w:pos="4153"/>
        <w:tab w:val="clear" w:pos="8306"/>
      </w:tabs>
    </w:pP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tabs>
        <w:tab w:val="left" w:pos="600"/>
      </w:tabs>
      <w:spacing w:line="0" w:lineRule="atLeast"/>
      <w:ind w:firstLine="0" w:firstLineChars="0"/>
      <w:jc w:val="center"/>
      <w:rPr>
        <w:sz w:val="18"/>
        <w:szCs w:val="18"/>
      </w:rPr>
    </w:pPr>
    <w:r>
      <w:rPr>
        <w:rStyle w:val="17"/>
        <w:rFonts w:hint="eastAsia"/>
      </w:rPr>
      <w:t>重庆市沙坪坝区工农水库防洪抢险应急预案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tabs>
        <w:tab w:val="left" w:pos="600"/>
      </w:tabs>
      <w:spacing w:line="0" w:lineRule="atLeast"/>
      <w:ind w:firstLine="0" w:firstLineChars="0"/>
      <w:rPr>
        <w:sz w:val="18"/>
        <w:szCs w:val="18"/>
      </w:rPr>
    </w:pPr>
    <w:r>
      <w:rPr>
        <w:rFonts w:hint="eastAsia"/>
        <w:sz w:val="18"/>
        <w:szCs w:val="18"/>
      </w:rPr>
      <w:t>重庆市沙坪坝区工农水库防洪抢险应急预案                                            4 险情监测与报告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true"/>
  <w:bordersDoNotSurroundFooter w:val="true"/>
  <w:doNotTrackMoves/>
  <w:documentProtection w:enforcement="0"/>
  <w:defaultTabStop w:val="420"/>
  <w:drawingGridHorizontalSpacing w:val="240"/>
  <w:drawingGridVerticalSpacing w:val="-7946"/>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2ODY0NjdmODVjYjU3ZGUwNGNkMTU3MDdlOTc5NjIifQ=="/>
  </w:docVars>
  <w:rsids>
    <w:rsidRoot w:val="002349C5"/>
    <w:rsid w:val="002349C5"/>
    <w:rsid w:val="00242B8F"/>
    <w:rsid w:val="00372117"/>
    <w:rsid w:val="007947CC"/>
    <w:rsid w:val="00920750"/>
    <w:rsid w:val="00946211"/>
    <w:rsid w:val="00AD7E96"/>
    <w:rsid w:val="00B11438"/>
    <w:rsid w:val="017B2F92"/>
    <w:rsid w:val="01835E70"/>
    <w:rsid w:val="023B5157"/>
    <w:rsid w:val="029F0C0E"/>
    <w:rsid w:val="030F42DA"/>
    <w:rsid w:val="032915B0"/>
    <w:rsid w:val="039179B5"/>
    <w:rsid w:val="03C06721"/>
    <w:rsid w:val="03C52BEB"/>
    <w:rsid w:val="03EA2651"/>
    <w:rsid w:val="03F953EC"/>
    <w:rsid w:val="04223B99"/>
    <w:rsid w:val="047F723D"/>
    <w:rsid w:val="04842AA6"/>
    <w:rsid w:val="04B82491"/>
    <w:rsid w:val="04BA33C3"/>
    <w:rsid w:val="04DA103E"/>
    <w:rsid w:val="04DC2FEB"/>
    <w:rsid w:val="05213D0C"/>
    <w:rsid w:val="06C058F8"/>
    <w:rsid w:val="06D8439B"/>
    <w:rsid w:val="06E85FF0"/>
    <w:rsid w:val="077A41C2"/>
    <w:rsid w:val="078171A5"/>
    <w:rsid w:val="07912B68"/>
    <w:rsid w:val="07C34A88"/>
    <w:rsid w:val="07FA4AD6"/>
    <w:rsid w:val="092D54BA"/>
    <w:rsid w:val="09BD3D35"/>
    <w:rsid w:val="0A23066B"/>
    <w:rsid w:val="0A3D0635"/>
    <w:rsid w:val="0A460C25"/>
    <w:rsid w:val="0A5E16A3"/>
    <w:rsid w:val="0AF3670C"/>
    <w:rsid w:val="0B497F16"/>
    <w:rsid w:val="0B787E96"/>
    <w:rsid w:val="0BCE0DCD"/>
    <w:rsid w:val="0C0A7D34"/>
    <w:rsid w:val="0C0B3A2F"/>
    <w:rsid w:val="0C19055C"/>
    <w:rsid w:val="0C4D4F79"/>
    <w:rsid w:val="0C5F1D74"/>
    <w:rsid w:val="0D466D09"/>
    <w:rsid w:val="0D6C40D7"/>
    <w:rsid w:val="0DD979BE"/>
    <w:rsid w:val="0E1513A7"/>
    <w:rsid w:val="0E802779"/>
    <w:rsid w:val="0EA82F72"/>
    <w:rsid w:val="1026510C"/>
    <w:rsid w:val="111A05F8"/>
    <w:rsid w:val="11495031"/>
    <w:rsid w:val="11BD7DC7"/>
    <w:rsid w:val="11CE2B2E"/>
    <w:rsid w:val="127D13E8"/>
    <w:rsid w:val="128A74D9"/>
    <w:rsid w:val="12B83C56"/>
    <w:rsid w:val="12D322B2"/>
    <w:rsid w:val="12EA184F"/>
    <w:rsid w:val="13223AF2"/>
    <w:rsid w:val="132B5E11"/>
    <w:rsid w:val="13631DC3"/>
    <w:rsid w:val="137433D0"/>
    <w:rsid w:val="13F37673"/>
    <w:rsid w:val="14B73B0A"/>
    <w:rsid w:val="14EA022D"/>
    <w:rsid w:val="14EB0A55"/>
    <w:rsid w:val="15202377"/>
    <w:rsid w:val="163D62AE"/>
    <w:rsid w:val="16A67AA1"/>
    <w:rsid w:val="16BF1B00"/>
    <w:rsid w:val="183E3694"/>
    <w:rsid w:val="18441E2B"/>
    <w:rsid w:val="186121A5"/>
    <w:rsid w:val="188D46EA"/>
    <w:rsid w:val="18F2320C"/>
    <w:rsid w:val="192F7E4B"/>
    <w:rsid w:val="1A1B5DEF"/>
    <w:rsid w:val="1BE91714"/>
    <w:rsid w:val="1C0B5085"/>
    <w:rsid w:val="1CA532CE"/>
    <w:rsid w:val="1D8622F6"/>
    <w:rsid w:val="1D8D4238"/>
    <w:rsid w:val="1E0344C3"/>
    <w:rsid w:val="1E6760D2"/>
    <w:rsid w:val="1EAA571D"/>
    <w:rsid w:val="1EC110F1"/>
    <w:rsid w:val="1EE31BD4"/>
    <w:rsid w:val="1F350CF1"/>
    <w:rsid w:val="1F8A0B3C"/>
    <w:rsid w:val="1FAA118B"/>
    <w:rsid w:val="1FCB0287"/>
    <w:rsid w:val="20126D60"/>
    <w:rsid w:val="20614FD2"/>
    <w:rsid w:val="2080016D"/>
    <w:rsid w:val="20DD26D0"/>
    <w:rsid w:val="223E0067"/>
    <w:rsid w:val="22941609"/>
    <w:rsid w:val="23B4402C"/>
    <w:rsid w:val="245B14E4"/>
    <w:rsid w:val="247D4DD3"/>
    <w:rsid w:val="24836353"/>
    <w:rsid w:val="24B71305"/>
    <w:rsid w:val="24BA371A"/>
    <w:rsid w:val="24E42AC1"/>
    <w:rsid w:val="25315EDA"/>
    <w:rsid w:val="25F22F22"/>
    <w:rsid w:val="271B61B3"/>
    <w:rsid w:val="274912B9"/>
    <w:rsid w:val="27760F07"/>
    <w:rsid w:val="28EA55D7"/>
    <w:rsid w:val="28F612B6"/>
    <w:rsid w:val="290322B0"/>
    <w:rsid w:val="292A0241"/>
    <w:rsid w:val="29850AC5"/>
    <w:rsid w:val="2A113183"/>
    <w:rsid w:val="2A2B114A"/>
    <w:rsid w:val="2A497822"/>
    <w:rsid w:val="2A5646B3"/>
    <w:rsid w:val="2ABE312B"/>
    <w:rsid w:val="2B305E5C"/>
    <w:rsid w:val="2B3C1135"/>
    <w:rsid w:val="2B6B2A69"/>
    <w:rsid w:val="2B7E52A9"/>
    <w:rsid w:val="2BC5112A"/>
    <w:rsid w:val="2C0B2FE1"/>
    <w:rsid w:val="2CD7023B"/>
    <w:rsid w:val="2E4B1758"/>
    <w:rsid w:val="2E615CCD"/>
    <w:rsid w:val="2ED61573"/>
    <w:rsid w:val="2F5122C6"/>
    <w:rsid w:val="300B6774"/>
    <w:rsid w:val="307D2FCF"/>
    <w:rsid w:val="30B22E86"/>
    <w:rsid w:val="30FB1EEF"/>
    <w:rsid w:val="31046251"/>
    <w:rsid w:val="31126195"/>
    <w:rsid w:val="31430FE9"/>
    <w:rsid w:val="32642098"/>
    <w:rsid w:val="32747406"/>
    <w:rsid w:val="32A024BB"/>
    <w:rsid w:val="32FD11AA"/>
    <w:rsid w:val="33A124C5"/>
    <w:rsid w:val="3459305C"/>
    <w:rsid w:val="34890BC0"/>
    <w:rsid w:val="34A41A4D"/>
    <w:rsid w:val="34BA06FF"/>
    <w:rsid w:val="35631207"/>
    <w:rsid w:val="36107D84"/>
    <w:rsid w:val="361F24F0"/>
    <w:rsid w:val="364C2ADB"/>
    <w:rsid w:val="36BF2BD1"/>
    <w:rsid w:val="36D15D4C"/>
    <w:rsid w:val="36F62AE0"/>
    <w:rsid w:val="37397DA9"/>
    <w:rsid w:val="37435EF7"/>
    <w:rsid w:val="375169B4"/>
    <w:rsid w:val="375B2C19"/>
    <w:rsid w:val="37C65742"/>
    <w:rsid w:val="37CB4AD9"/>
    <w:rsid w:val="37CF1BF2"/>
    <w:rsid w:val="39AA78DB"/>
    <w:rsid w:val="39B36EF1"/>
    <w:rsid w:val="39F60127"/>
    <w:rsid w:val="39FB720A"/>
    <w:rsid w:val="3A2563B4"/>
    <w:rsid w:val="3A5E25CA"/>
    <w:rsid w:val="3AA55E14"/>
    <w:rsid w:val="3AC10CF0"/>
    <w:rsid w:val="3B6B3A9C"/>
    <w:rsid w:val="3BA42229"/>
    <w:rsid w:val="3BAC7F61"/>
    <w:rsid w:val="3BE41B48"/>
    <w:rsid w:val="3C3417FB"/>
    <w:rsid w:val="3C633E13"/>
    <w:rsid w:val="3CBE4429"/>
    <w:rsid w:val="3CC26142"/>
    <w:rsid w:val="3CEC1573"/>
    <w:rsid w:val="3D0D2931"/>
    <w:rsid w:val="3D4F7AE9"/>
    <w:rsid w:val="3D862BD3"/>
    <w:rsid w:val="3DA87C71"/>
    <w:rsid w:val="3DCA4B9B"/>
    <w:rsid w:val="3E391328"/>
    <w:rsid w:val="3E721CCA"/>
    <w:rsid w:val="3F036628"/>
    <w:rsid w:val="3F0F6D90"/>
    <w:rsid w:val="3FBD181F"/>
    <w:rsid w:val="3FD61700"/>
    <w:rsid w:val="3FE61943"/>
    <w:rsid w:val="402C5BFA"/>
    <w:rsid w:val="40A11D0E"/>
    <w:rsid w:val="40CD7132"/>
    <w:rsid w:val="414521AB"/>
    <w:rsid w:val="41641AD3"/>
    <w:rsid w:val="41E41EB2"/>
    <w:rsid w:val="41E75A9D"/>
    <w:rsid w:val="41F666EF"/>
    <w:rsid w:val="42D073FA"/>
    <w:rsid w:val="43316516"/>
    <w:rsid w:val="438A6827"/>
    <w:rsid w:val="44223A68"/>
    <w:rsid w:val="44735E29"/>
    <w:rsid w:val="44925E70"/>
    <w:rsid w:val="450514C2"/>
    <w:rsid w:val="450729E1"/>
    <w:rsid w:val="45146667"/>
    <w:rsid w:val="45480C8A"/>
    <w:rsid w:val="45C95686"/>
    <w:rsid w:val="45EE77A4"/>
    <w:rsid w:val="461F11C8"/>
    <w:rsid w:val="46A1511F"/>
    <w:rsid w:val="46B5067D"/>
    <w:rsid w:val="47903365"/>
    <w:rsid w:val="481F2618"/>
    <w:rsid w:val="48F535AF"/>
    <w:rsid w:val="490305E5"/>
    <w:rsid w:val="4988711F"/>
    <w:rsid w:val="4A121326"/>
    <w:rsid w:val="4A4D79EF"/>
    <w:rsid w:val="4AB12EA2"/>
    <w:rsid w:val="4AF403AA"/>
    <w:rsid w:val="4B294DDA"/>
    <w:rsid w:val="4B40201E"/>
    <w:rsid w:val="4B5519DB"/>
    <w:rsid w:val="4B8778C3"/>
    <w:rsid w:val="4BAA21AE"/>
    <w:rsid w:val="4D8A17FD"/>
    <w:rsid w:val="4E0F678F"/>
    <w:rsid w:val="4E9F11DC"/>
    <w:rsid w:val="4F4A59AF"/>
    <w:rsid w:val="4F545B63"/>
    <w:rsid w:val="4FE15C83"/>
    <w:rsid w:val="50265D8C"/>
    <w:rsid w:val="50C03244"/>
    <w:rsid w:val="50E96DC9"/>
    <w:rsid w:val="5175126D"/>
    <w:rsid w:val="519D4113"/>
    <w:rsid w:val="521E1BF6"/>
    <w:rsid w:val="523D0A75"/>
    <w:rsid w:val="524D51A3"/>
    <w:rsid w:val="525973AA"/>
    <w:rsid w:val="52752D8D"/>
    <w:rsid w:val="52A52464"/>
    <w:rsid w:val="52C3148F"/>
    <w:rsid w:val="52EA3EB6"/>
    <w:rsid w:val="534410BD"/>
    <w:rsid w:val="53C51B3F"/>
    <w:rsid w:val="54662A38"/>
    <w:rsid w:val="54D538DD"/>
    <w:rsid w:val="54E72DC2"/>
    <w:rsid w:val="55052FC6"/>
    <w:rsid w:val="56AC42AE"/>
    <w:rsid w:val="56C962C7"/>
    <w:rsid w:val="56CB34D8"/>
    <w:rsid w:val="56D4595C"/>
    <w:rsid w:val="57010F8D"/>
    <w:rsid w:val="571A4CCA"/>
    <w:rsid w:val="571C3A45"/>
    <w:rsid w:val="576E3A94"/>
    <w:rsid w:val="581B4B39"/>
    <w:rsid w:val="58306484"/>
    <w:rsid w:val="584D0610"/>
    <w:rsid w:val="585909DE"/>
    <w:rsid w:val="589F7C32"/>
    <w:rsid w:val="58C23AF5"/>
    <w:rsid w:val="59076C8F"/>
    <w:rsid w:val="593F788A"/>
    <w:rsid w:val="59CA3C2C"/>
    <w:rsid w:val="5A1D44B6"/>
    <w:rsid w:val="5A7E2789"/>
    <w:rsid w:val="5A88346D"/>
    <w:rsid w:val="5AB47623"/>
    <w:rsid w:val="5BF61F1A"/>
    <w:rsid w:val="5C597B57"/>
    <w:rsid w:val="5D1F428F"/>
    <w:rsid w:val="5E3C2174"/>
    <w:rsid w:val="5E4665DE"/>
    <w:rsid w:val="5E656FE5"/>
    <w:rsid w:val="5EC7106B"/>
    <w:rsid w:val="5F1C40B0"/>
    <w:rsid w:val="5F304A57"/>
    <w:rsid w:val="5F4E6098"/>
    <w:rsid w:val="5FC4678F"/>
    <w:rsid w:val="5FF87537"/>
    <w:rsid w:val="60136FB1"/>
    <w:rsid w:val="60E21198"/>
    <w:rsid w:val="610F0176"/>
    <w:rsid w:val="61467F56"/>
    <w:rsid w:val="61CC78EB"/>
    <w:rsid w:val="61DE1FAA"/>
    <w:rsid w:val="62251B60"/>
    <w:rsid w:val="62B0343B"/>
    <w:rsid w:val="636B5105"/>
    <w:rsid w:val="63C17E4E"/>
    <w:rsid w:val="642F0D8F"/>
    <w:rsid w:val="64A75CBD"/>
    <w:rsid w:val="64B47167"/>
    <w:rsid w:val="650F4BE9"/>
    <w:rsid w:val="651C5BF3"/>
    <w:rsid w:val="65A1312C"/>
    <w:rsid w:val="65A77413"/>
    <w:rsid w:val="65B23EF2"/>
    <w:rsid w:val="66337614"/>
    <w:rsid w:val="66A644D2"/>
    <w:rsid w:val="67547182"/>
    <w:rsid w:val="67863C83"/>
    <w:rsid w:val="67B40BF1"/>
    <w:rsid w:val="67DE4908"/>
    <w:rsid w:val="67EB1865"/>
    <w:rsid w:val="687D74FE"/>
    <w:rsid w:val="68D56A6A"/>
    <w:rsid w:val="68EE2E29"/>
    <w:rsid w:val="694A1976"/>
    <w:rsid w:val="69820FB9"/>
    <w:rsid w:val="698846B0"/>
    <w:rsid w:val="6A576944"/>
    <w:rsid w:val="6A5827AD"/>
    <w:rsid w:val="6B0F76F1"/>
    <w:rsid w:val="6B6027CB"/>
    <w:rsid w:val="6BB00113"/>
    <w:rsid w:val="6D0140C9"/>
    <w:rsid w:val="6D7D0BC1"/>
    <w:rsid w:val="6DC056A0"/>
    <w:rsid w:val="6E02353D"/>
    <w:rsid w:val="6E0B4071"/>
    <w:rsid w:val="6E573FFC"/>
    <w:rsid w:val="6ED034E4"/>
    <w:rsid w:val="6ED37DED"/>
    <w:rsid w:val="6F5C62BD"/>
    <w:rsid w:val="6FDC4FAB"/>
    <w:rsid w:val="6FDD600F"/>
    <w:rsid w:val="6FE65176"/>
    <w:rsid w:val="6FEC1977"/>
    <w:rsid w:val="702F7260"/>
    <w:rsid w:val="703807A8"/>
    <w:rsid w:val="70A401D7"/>
    <w:rsid w:val="728A3BA0"/>
    <w:rsid w:val="731A2C9F"/>
    <w:rsid w:val="741A2264"/>
    <w:rsid w:val="745274F4"/>
    <w:rsid w:val="748143EA"/>
    <w:rsid w:val="758B1C1A"/>
    <w:rsid w:val="75CE0917"/>
    <w:rsid w:val="764A6EC1"/>
    <w:rsid w:val="7678411E"/>
    <w:rsid w:val="76956FDE"/>
    <w:rsid w:val="775840A6"/>
    <w:rsid w:val="77B42B81"/>
    <w:rsid w:val="77F70BCC"/>
    <w:rsid w:val="7815719B"/>
    <w:rsid w:val="788009DB"/>
    <w:rsid w:val="79150FC2"/>
    <w:rsid w:val="79295E21"/>
    <w:rsid w:val="793B142D"/>
    <w:rsid w:val="797103B6"/>
    <w:rsid w:val="79AE6327"/>
    <w:rsid w:val="79E55CBA"/>
    <w:rsid w:val="7A0D0FE3"/>
    <w:rsid w:val="7A1D5FA5"/>
    <w:rsid w:val="7ABD24A2"/>
    <w:rsid w:val="7B0703E4"/>
    <w:rsid w:val="7B5B2DB4"/>
    <w:rsid w:val="7B656EB9"/>
    <w:rsid w:val="7B97648D"/>
    <w:rsid w:val="7BD548EB"/>
    <w:rsid w:val="7BF4343E"/>
    <w:rsid w:val="7BFA2FAE"/>
    <w:rsid w:val="7C132D69"/>
    <w:rsid w:val="7C4E556D"/>
    <w:rsid w:val="7CD9613A"/>
    <w:rsid w:val="7CDA0117"/>
    <w:rsid w:val="7D1A2C2B"/>
    <w:rsid w:val="7D7D0339"/>
    <w:rsid w:val="7E2B6198"/>
    <w:rsid w:val="7E476302"/>
    <w:rsid w:val="7E5D6206"/>
    <w:rsid w:val="7ED739A8"/>
    <w:rsid w:val="7EFF329C"/>
    <w:rsid w:val="7F212147"/>
    <w:rsid w:val="7F404EFF"/>
    <w:rsid w:val="7F5A26F0"/>
    <w:rsid w:val="DEFEB2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iPriority="99"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20" w:lineRule="exact"/>
      <w:ind w:firstLine="643"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15"/>
    <w:qFormat/>
    <w:uiPriority w:val="0"/>
    <w:pPr>
      <w:keepNext/>
      <w:keepLines/>
      <w:spacing w:beforeLines="100" w:afterLines="100"/>
      <w:ind w:firstLine="0" w:firstLineChars="0"/>
      <w:jc w:val="center"/>
      <w:outlineLvl w:val="0"/>
    </w:pPr>
    <w:rPr>
      <w:b/>
      <w:bCs/>
      <w:kern w:val="44"/>
      <w:sz w:val="32"/>
      <w:szCs w:val="44"/>
    </w:rPr>
  </w:style>
  <w:style w:type="paragraph" w:styleId="3">
    <w:name w:val="heading 2"/>
    <w:basedOn w:val="1"/>
    <w:next w:val="1"/>
    <w:link w:val="16"/>
    <w:unhideWhenUsed/>
    <w:qFormat/>
    <w:uiPriority w:val="0"/>
    <w:pPr>
      <w:keepNext/>
      <w:keepLines/>
      <w:spacing w:beforeLines="50" w:afterLines="50"/>
      <w:ind w:firstLine="0" w:firstLineChars="0"/>
      <w:jc w:val="left"/>
      <w:outlineLvl w:val="1"/>
    </w:pPr>
    <w:rPr>
      <w:b/>
      <w:bCs/>
      <w:sz w:val="30"/>
      <w:szCs w:val="32"/>
    </w:rPr>
  </w:style>
  <w:style w:type="paragraph" w:styleId="4">
    <w:name w:val="heading 3"/>
    <w:basedOn w:val="1"/>
    <w:next w:val="1"/>
    <w:link w:val="14"/>
    <w:unhideWhenUsed/>
    <w:qFormat/>
    <w:uiPriority w:val="0"/>
    <w:pPr>
      <w:keepNext/>
      <w:keepLines/>
      <w:spacing w:beforeLines="50" w:afterLines="50"/>
      <w:ind w:firstLine="0" w:firstLineChars="0"/>
      <w:jc w:val="left"/>
      <w:outlineLvl w:val="2"/>
    </w:pPr>
    <w:rPr>
      <w:b/>
      <w:bCs/>
      <w:sz w:val="28"/>
      <w:szCs w:val="32"/>
    </w:rPr>
  </w:style>
  <w:style w:type="paragraph" w:styleId="5">
    <w:name w:val="heading 4"/>
    <w:basedOn w:val="1"/>
    <w:next w:val="1"/>
    <w:unhideWhenUsed/>
    <w:qFormat/>
    <w:uiPriority w:val="0"/>
    <w:pPr>
      <w:keepLines/>
      <w:ind w:firstLine="0" w:firstLineChars="0"/>
      <w:outlineLvl w:val="3"/>
    </w:pPr>
    <w:rPr>
      <w:b/>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pacing w:line="240" w:lineRule="auto"/>
      <w:ind w:firstLine="0" w:firstLineChars="0"/>
      <w:jc w:val="left"/>
    </w:pPr>
    <w:rPr>
      <w:sz w:val="18"/>
    </w:rPr>
  </w:style>
  <w:style w:type="paragraph" w:styleId="7">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ind w:firstLine="0" w:firstLineChars="0"/>
      <w:jc w:val="center"/>
    </w:pPr>
    <w:rPr>
      <w:sz w:val="18"/>
    </w:rPr>
  </w:style>
  <w:style w:type="paragraph" w:styleId="8">
    <w:name w:val="toc 1"/>
    <w:basedOn w:val="1"/>
    <w:next w:val="1"/>
    <w:qFormat/>
    <w:uiPriority w:val="0"/>
    <w:pPr>
      <w:ind w:firstLine="0" w:firstLineChars="0"/>
    </w:pPr>
    <w:rPr>
      <w:rFonts w:cs="黑体"/>
      <w:b/>
    </w:rPr>
  </w:style>
  <w:style w:type="paragraph" w:styleId="9">
    <w:name w:val="toc 2"/>
    <w:basedOn w:val="1"/>
    <w:next w:val="1"/>
    <w:qFormat/>
    <w:uiPriority w:val="0"/>
    <w:pPr>
      <w:ind w:left="420" w:leftChars="200" w:firstLine="0" w:firstLineChars="0"/>
    </w:pPr>
  </w:style>
  <w:style w:type="table" w:styleId="11">
    <w:name w:val="Table Grid"/>
    <w:basedOn w:val="10"/>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page number"/>
    <w:basedOn w:val="12"/>
    <w:qFormat/>
    <w:uiPriority w:val="0"/>
  </w:style>
  <w:style w:type="character" w:customStyle="1" w:styleId="14">
    <w:name w:val="标题 3 Char"/>
    <w:link w:val="4"/>
    <w:qFormat/>
    <w:uiPriority w:val="0"/>
    <w:rPr>
      <w:rFonts w:ascii="Times New Roman" w:hAnsi="Times New Roman" w:eastAsia="宋体" w:cs="Times New Roman"/>
      <w:b/>
      <w:sz w:val="28"/>
    </w:rPr>
  </w:style>
  <w:style w:type="character" w:customStyle="1" w:styleId="15">
    <w:name w:val="标题 1 Char"/>
    <w:link w:val="2"/>
    <w:qFormat/>
    <w:uiPriority w:val="0"/>
    <w:rPr>
      <w:rFonts w:ascii="Times New Roman" w:hAnsi="Times New Roman" w:eastAsia="宋体" w:cs="Times New Roman"/>
      <w:b/>
      <w:bCs/>
      <w:kern w:val="44"/>
      <w:sz w:val="32"/>
      <w:szCs w:val="44"/>
    </w:rPr>
  </w:style>
  <w:style w:type="character" w:customStyle="1" w:styleId="16">
    <w:name w:val="标题 2 Char"/>
    <w:link w:val="3"/>
    <w:qFormat/>
    <w:uiPriority w:val="0"/>
    <w:rPr>
      <w:rFonts w:ascii="Times New Roman" w:hAnsi="Times New Roman" w:eastAsia="宋体" w:cs="Times New Roman"/>
      <w:b/>
      <w:bCs/>
      <w:kern w:val="2"/>
      <w:sz w:val="30"/>
      <w:szCs w:val="32"/>
    </w:rPr>
  </w:style>
  <w:style w:type="character" w:customStyle="1" w:styleId="17">
    <w:name w:val="页眉 Char"/>
    <w:link w:val="7"/>
    <w:qFormat/>
    <w:uiPriority w:val="0"/>
    <w:rPr>
      <w:rFonts w:ascii="Times New Roman" w:hAnsi="Times New Roman" w:eastAsia="宋体"/>
      <w:sz w:val="18"/>
    </w:rPr>
  </w:style>
  <w:style w:type="paragraph" w:customStyle="1" w:styleId="18">
    <w:name w:val="样式1"/>
    <w:basedOn w:val="1"/>
    <w:next w:val="1"/>
    <w:qFormat/>
    <w:uiPriority w:val="0"/>
    <w:pPr>
      <w:ind w:firstLine="0" w:firstLineChars="0"/>
      <w:jc w:val="center"/>
    </w:pPr>
    <w:rPr>
      <w:rFonts w:cs="黑体"/>
      <w:b/>
      <w:szCs w:val="22"/>
    </w:rPr>
  </w:style>
  <w:style w:type="paragraph" w:customStyle="1" w:styleId="19">
    <w:name w:val="样式2"/>
    <w:basedOn w:val="1"/>
    <w:qFormat/>
    <w:uiPriority w:val="0"/>
    <w:pPr>
      <w:spacing w:line="240" w:lineRule="auto"/>
      <w:ind w:firstLine="0" w:firstLineChars="0"/>
      <w:jc w:val="center"/>
    </w:pPr>
    <w:rPr>
      <w:rFonts w:cs="黑体"/>
      <w:sz w:val="21"/>
      <w:szCs w:val="22"/>
    </w:rPr>
  </w:style>
  <w:style w:type="paragraph" w:customStyle="1" w:styleId="20">
    <w:name w:val="表文"/>
    <w:basedOn w:val="1"/>
    <w:qFormat/>
    <w:uiPriority w:val="0"/>
    <w:pPr>
      <w:widowControl/>
      <w:spacing w:line="0" w:lineRule="atLeast"/>
      <w:ind w:firstLine="0" w:firstLineChars="0"/>
      <w:jc w:val="center"/>
    </w:pPr>
    <w:rPr>
      <w:snapToGrid w:val="0"/>
      <w:kern w:val="0"/>
      <w:sz w:val="21"/>
      <w:szCs w:val="21"/>
    </w:rPr>
  </w:style>
  <w:style w:type="paragraph" w:customStyle="1" w:styleId="21">
    <w:name w:val="表格文字"/>
    <w:qFormat/>
    <w:uiPriority w:val="0"/>
    <w:pPr>
      <w:jc w:val="center"/>
    </w:pPr>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chart" Target="charts/chart2.xml"/><Relationship Id="rId32" Type="http://schemas.openxmlformats.org/officeDocument/2006/relationships/chart" Target="charts/chart1.xml"/><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wmf"/><Relationship Id="rId27" Type="http://schemas.openxmlformats.org/officeDocument/2006/relationships/oleObject" Target="embeddings/oleObject4.bin"/><Relationship Id="rId26" Type="http://schemas.openxmlformats.org/officeDocument/2006/relationships/image" Target="media/image10.wmf"/><Relationship Id="rId25" Type="http://schemas.openxmlformats.org/officeDocument/2006/relationships/oleObject" Target="embeddings/oleObject3.bin"/><Relationship Id="rId24" Type="http://schemas.openxmlformats.org/officeDocument/2006/relationships/image" Target="media/image9.wmf"/><Relationship Id="rId23" Type="http://schemas.openxmlformats.org/officeDocument/2006/relationships/oleObject" Target="embeddings/oleObject2.bin"/><Relationship Id="rId22" Type="http://schemas.openxmlformats.org/officeDocument/2006/relationships/image" Target="media/image8.wmf"/><Relationship Id="rId21" Type="http://schemas.openxmlformats.org/officeDocument/2006/relationships/oleObject" Target="embeddings/oleObject1.bin"/><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03-&#35843;&#27946;&#29305;&#24449;&#26354;&#32447;&#21450;&#27946;&#27700;&#32447;041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03-&#35843;&#27946;&#29305;&#24449;&#26354;&#32447;&#21450;&#27946;&#27700;&#32447;04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400" b="0" i="0" u="none" strike="noStrike" kern="1200" spc="0" baseline="0">
                <a:solidFill>
                  <a:srgbClr val="595959">
                    <a:lumMod val="65000"/>
                    <a:lumOff val="35000"/>
                  </a:srgbClr>
                </a:solidFill>
                <a:latin typeface="+mn-lt"/>
                <a:ea typeface="+mn-ea"/>
                <a:cs typeface="+mn-cs"/>
              </a:defRPr>
            </a:pPr>
            <a:r>
              <a:rPr sz="1400" b="0" i="0" u="none" strike="noStrike" baseline="0">
                <a:solidFill>
                  <a:srgbClr val="000000"/>
                </a:solidFill>
                <a:latin typeface="宋体" charset="-122"/>
                <a:ea typeface="宋体" charset="-122"/>
                <a:cs typeface="宋体" charset="-122"/>
              </a:rPr>
              <a:t>工农水库水位</a:t>
            </a:r>
            <a:r>
              <a:rPr lang="en-US" altLang="zh-CN" sz="1400" b="0" i="0" u="none" strike="noStrike" baseline="0">
                <a:solidFill>
                  <a:srgbClr val="000000"/>
                </a:solidFill>
                <a:latin typeface="Times New Roman" charset="0"/>
                <a:ea typeface="Times New Roman" charset="0"/>
                <a:cs typeface="Times New Roman" charset="0"/>
              </a:rPr>
              <a:t>~</a:t>
            </a:r>
            <a:r>
              <a:rPr altLang="en-US" sz="1400" b="0" i="0" u="none" strike="noStrike" baseline="0">
                <a:solidFill>
                  <a:srgbClr val="000000"/>
                </a:solidFill>
                <a:latin typeface="宋体" charset="-122"/>
                <a:ea typeface="宋体" charset="-122"/>
                <a:cs typeface="宋体" charset="-122"/>
              </a:rPr>
              <a:t>库容曲线</a:t>
            </a:r>
            <a:endParaRPr altLang="en-US" sz="1200" b="0" i="0" u="none" strike="noStrike" baseline="0">
              <a:solidFill>
                <a:srgbClr val="000000"/>
              </a:solidFill>
              <a:latin typeface="宋体" charset="-122"/>
              <a:ea typeface="宋体" charset="-122"/>
              <a:cs typeface="宋体" charset="-122"/>
            </a:endParaRPr>
          </a:p>
        </c:rich>
      </c:tx>
      <c:layout/>
      <c:overlay val="false"/>
      <c:spPr>
        <a:noFill/>
        <a:ln>
          <a:noFill/>
        </a:ln>
        <a:effectLst/>
      </c:spPr>
    </c:title>
    <c:autoTitleDeleted val="false"/>
    <c:plotArea>
      <c:layout/>
      <c:scatterChart>
        <c:scatterStyle val="smooth"/>
        <c:varyColors val="false"/>
        <c:ser>
          <c:idx val="0"/>
          <c:order val="0"/>
          <c:spPr>
            <a:ln w="19050" cap="rnd" cmpd="sng" algn="ctr">
              <a:solidFill>
                <a:srgbClr val="000000"/>
              </a:solidFill>
              <a:prstDash val="solid"/>
              <a:round/>
            </a:ln>
            <a:effectLst/>
          </c:spPr>
          <c:marker>
            <c:symbol val="none"/>
          </c:marker>
          <c:dLbls>
            <c:delete val="true"/>
          </c:dLbls>
          <c:xVal>
            <c:numRef>
              <c:f>'[03-调洪特征曲线及洪水线0413.xls]特征曲线-新中'!$C$3:$C$16</c:f>
              <c:numCache>
                <c:formatCode>0.00_ </c:formatCode>
                <c:ptCount val="14"/>
                <c:pt idx="0">
                  <c:v>3</c:v>
                </c:pt>
                <c:pt idx="1">
                  <c:v>12</c:v>
                </c:pt>
                <c:pt idx="2">
                  <c:v>36</c:v>
                </c:pt>
                <c:pt idx="3">
                  <c:v>86</c:v>
                </c:pt>
                <c:pt idx="4">
                  <c:v>132</c:v>
                </c:pt>
                <c:pt idx="5">
                  <c:v>144</c:v>
                </c:pt>
                <c:pt idx="6">
                  <c:v>168</c:v>
                </c:pt>
                <c:pt idx="7">
                  <c:v>189</c:v>
                </c:pt>
                <c:pt idx="8">
                  <c:v>210</c:v>
                </c:pt>
                <c:pt idx="9">
                  <c:v>237</c:v>
                </c:pt>
                <c:pt idx="10">
                  <c:v>262.5</c:v>
                </c:pt>
                <c:pt idx="11">
                  <c:v>290</c:v>
                </c:pt>
                <c:pt idx="12">
                  <c:v>321</c:v>
                </c:pt>
                <c:pt idx="13">
                  <c:v>352.5</c:v>
                </c:pt>
              </c:numCache>
            </c:numRef>
          </c:xVal>
          <c:yVal>
            <c:numRef>
              <c:f>'[03-调洪特征曲线及洪水线0413.xls]特征曲线-新中'!$D$3:$D$16</c:f>
              <c:numCache>
                <c:formatCode>0.00_ </c:formatCode>
                <c:ptCount val="14"/>
                <c:pt idx="0">
                  <c:v>259</c:v>
                </c:pt>
                <c:pt idx="1">
                  <c:v>262</c:v>
                </c:pt>
                <c:pt idx="2">
                  <c:v>265</c:v>
                </c:pt>
                <c:pt idx="3">
                  <c:v>268</c:v>
                </c:pt>
                <c:pt idx="4">
                  <c:v>270</c:v>
                </c:pt>
                <c:pt idx="5">
                  <c:v>270.36</c:v>
                </c:pt>
                <c:pt idx="6">
                  <c:v>271</c:v>
                </c:pt>
                <c:pt idx="7">
                  <c:v>271.5</c:v>
                </c:pt>
                <c:pt idx="8">
                  <c:v>272</c:v>
                </c:pt>
                <c:pt idx="9">
                  <c:v>272.5</c:v>
                </c:pt>
                <c:pt idx="10">
                  <c:v>273</c:v>
                </c:pt>
                <c:pt idx="11">
                  <c:v>273.5</c:v>
                </c:pt>
                <c:pt idx="12">
                  <c:v>274</c:v>
                </c:pt>
                <c:pt idx="13">
                  <c:v>274.5</c:v>
                </c:pt>
              </c:numCache>
            </c:numRef>
          </c:yVal>
          <c:smooth val="true"/>
        </c:ser>
        <c:dLbls>
          <c:showLegendKey val="false"/>
          <c:showVal val="false"/>
          <c:showCatName val="false"/>
          <c:showSerName val="false"/>
          <c:showPercent val="false"/>
          <c:showBubbleSize val="false"/>
        </c:dLbls>
        <c:axId val="632488839"/>
        <c:axId val="646266915"/>
      </c:scatterChart>
      <c:valAx>
        <c:axId val="632488839"/>
        <c:scaling>
          <c:orientation val="minMax"/>
        </c:scaling>
        <c:delete val="false"/>
        <c:axPos val="b"/>
        <c:majorGridlines>
          <c:spPr>
            <a:ln w="9525" cap="flat" cmpd="sng" algn="ctr">
              <a:solidFill>
                <a:srgbClr val="7F7F7F">
                  <a:lumMod val="50000"/>
                </a:srgbClr>
              </a:solidFill>
              <a:prstDash val="solid"/>
              <a:round/>
            </a:ln>
            <a:effectLst/>
          </c:spPr>
        </c:majorGridlines>
        <c:title>
          <c:tx>
            <c:rich>
              <a:bodyPr rot="0" spcFirstLastPara="0" vertOverflow="ellipsis" vert="horz" wrap="square" anchor="ctr" anchorCtr="true"/>
              <a:lstStyle/>
              <a:p>
                <a:pPr defTabSz="914400">
                  <a:defRPr lang="zh-CN" sz="1000" b="1" i="0" u="none" strike="noStrike" kern="1200" baseline="0">
                    <a:solidFill>
                      <a:srgbClr val="000000"/>
                    </a:solidFill>
                    <a:latin typeface="+mn-lt"/>
                    <a:ea typeface="+mn-ea"/>
                    <a:cs typeface="+mn-cs"/>
                  </a:defRPr>
                </a:pPr>
                <a:r>
                  <a:rPr sz="1000" b="0" i="0" u="none" strike="noStrike" baseline="0">
                    <a:solidFill>
                      <a:srgbClr val="000000"/>
                    </a:solidFill>
                    <a:latin typeface="宋体" charset="-122"/>
                    <a:ea typeface="宋体" charset="-122"/>
                    <a:cs typeface="宋体" charset="-122"/>
                  </a:rPr>
                  <a:t>库容（万</a:t>
                </a:r>
                <a:r>
                  <a:rPr lang="en-US" altLang="zh-CN" sz="1000" b="0" i="0" u="none" strike="noStrike" baseline="0">
                    <a:solidFill>
                      <a:srgbClr val="000000"/>
                    </a:solidFill>
                    <a:latin typeface="Times New Roman" charset="0"/>
                    <a:ea typeface="Times New Roman" charset="0"/>
                    <a:cs typeface="Times New Roman" charset="0"/>
                  </a:rPr>
                  <a:t>m³</a:t>
                </a:r>
                <a:r>
                  <a:rPr altLang="en-US" sz="1000" b="0" i="0" u="none" strike="noStrike" baseline="0">
                    <a:solidFill>
                      <a:srgbClr val="000000"/>
                    </a:solidFill>
                    <a:latin typeface="宋体" charset="-122"/>
                    <a:ea typeface="宋体" charset="-122"/>
                    <a:cs typeface="宋体" charset="-122"/>
                  </a:rPr>
                  <a:t>）</a:t>
                </a:r>
                <a:endParaRPr altLang="en-US" sz="1200" b="0" i="0" u="none" strike="noStrike" baseline="0">
                  <a:solidFill>
                    <a:srgbClr val="000000"/>
                  </a:solidFill>
                  <a:latin typeface="宋体" charset="-122"/>
                  <a:ea typeface="宋体" charset="-122"/>
                  <a:cs typeface="宋体" charset="-122"/>
                </a:endParaRPr>
              </a:p>
            </c:rich>
          </c:tx>
          <c:layout/>
          <c:overlay val="false"/>
        </c:title>
        <c:numFmt formatCode="0.00_ " sourceLinked="true"/>
        <c:majorTickMark val="none"/>
        <c:minorTickMark val="none"/>
        <c:tickLblPos val="nextTo"/>
        <c:spPr>
          <a:noFill/>
          <a:ln w="9525" cap="flat" cmpd="sng" algn="ctr">
            <a:solidFill>
              <a:srgbClr val="BFBFBF">
                <a:lumMod val="25000"/>
                <a:lumOff val="75000"/>
              </a:srgbClr>
            </a:solidFill>
            <a:prstDash val="solid"/>
            <a:round/>
          </a:ln>
          <a:effectLst/>
        </c:spPr>
        <c:txPr>
          <a:bodyPr rot="-60000000" spcFirstLastPara="0" vertOverflow="ellipsis" vert="horz" wrap="square" anchor="ctr" anchorCtr="true"/>
          <a:lstStyle/>
          <a:p>
            <a:pPr>
              <a:defRPr lang="zh-CN" sz="1000" b="0" i="0" u="none" strike="noStrike" kern="1200" baseline="0">
                <a:solidFill>
                  <a:sysClr val="windowText" lastClr="000000"/>
                </a:solidFill>
                <a:latin typeface="Times New Roman" charset="0"/>
                <a:ea typeface="Times New Roman" charset="0"/>
                <a:cs typeface="Times New Roman" charset="0"/>
                <a:sym typeface="Times New Roman" charset="0"/>
              </a:defRPr>
            </a:pPr>
          </a:p>
        </c:txPr>
        <c:crossAx val="646266915"/>
        <c:crosses val="autoZero"/>
        <c:crossBetween val="midCat"/>
      </c:valAx>
      <c:valAx>
        <c:axId val="646266915"/>
        <c:scaling>
          <c:orientation val="minMax"/>
        </c:scaling>
        <c:delete val="false"/>
        <c:axPos val="l"/>
        <c:majorGridlines>
          <c:spPr>
            <a:ln w="9525" cap="flat" cmpd="sng" algn="ctr">
              <a:solidFill>
                <a:srgbClr val="7F7F7F">
                  <a:lumMod val="50000"/>
                </a:srgbClr>
              </a:solidFill>
              <a:prstDash val="solid"/>
              <a:round/>
            </a:ln>
            <a:effectLst/>
          </c:spPr>
        </c:majorGridlines>
        <c:title>
          <c:tx>
            <c:rich>
              <a:bodyPr rot="-5400000" spcFirstLastPara="0" vertOverflow="ellipsis" vert="horz" wrap="square" anchor="ctr" anchorCtr="true"/>
              <a:lstStyle/>
              <a:p>
                <a:pPr defTabSz="914400">
                  <a:defRPr lang="zh-CN" sz="1000" b="1" i="0" u="none" strike="noStrike" kern="1200" baseline="0">
                    <a:solidFill>
                      <a:srgbClr val="000000"/>
                    </a:solidFill>
                    <a:latin typeface="+mn-lt"/>
                    <a:ea typeface="+mn-ea"/>
                    <a:cs typeface="+mn-cs"/>
                  </a:defRPr>
                </a:pPr>
                <a:r>
                  <a:rPr sz="1000" b="0" i="0" u="none" strike="noStrike" baseline="0">
                    <a:solidFill>
                      <a:srgbClr val="000000"/>
                    </a:solidFill>
                    <a:latin typeface="宋体" charset="-122"/>
                    <a:ea typeface="宋体" charset="-122"/>
                    <a:cs typeface="宋体" charset="-122"/>
                  </a:rPr>
                  <a:t>水位（</a:t>
                </a:r>
                <a:r>
                  <a:rPr lang="en-US" altLang="zh-CN" sz="1000" b="0" i="0" u="none" strike="noStrike" baseline="0">
                    <a:solidFill>
                      <a:srgbClr val="000000"/>
                    </a:solidFill>
                    <a:latin typeface="Times New Roman" charset="0"/>
                    <a:ea typeface="Times New Roman" charset="0"/>
                    <a:cs typeface="Times New Roman" charset="0"/>
                  </a:rPr>
                  <a:t>m</a:t>
                </a:r>
                <a:r>
                  <a:rPr altLang="en-US" sz="1000" b="0" i="0" u="none" strike="noStrike" baseline="0">
                    <a:solidFill>
                      <a:srgbClr val="000000"/>
                    </a:solidFill>
                    <a:latin typeface="宋体" charset="-122"/>
                    <a:ea typeface="宋体" charset="-122"/>
                    <a:cs typeface="宋体" charset="-122"/>
                  </a:rPr>
                  <a:t>）</a:t>
                </a:r>
                <a:endParaRPr altLang="en-US" sz="1200" b="0" i="0" u="none" strike="noStrike" baseline="0">
                  <a:solidFill>
                    <a:srgbClr val="000000"/>
                  </a:solidFill>
                  <a:latin typeface="宋体" charset="-122"/>
                  <a:ea typeface="宋体" charset="-122"/>
                  <a:cs typeface="宋体" charset="-122"/>
                </a:endParaRPr>
              </a:p>
            </c:rich>
          </c:tx>
          <c:layout/>
          <c:overlay val="false"/>
        </c:title>
        <c:numFmt formatCode="0.00_ " sourceLinked="true"/>
        <c:majorTickMark val="none"/>
        <c:minorTickMark val="none"/>
        <c:tickLblPos val="nextTo"/>
        <c:spPr>
          <a:noFill/>
          <a:ln w="9525" cap="flat" cmpd="sng" algn="ctr">
            <a:solidFill>
              <a:srgbClr val="BFBFBF">
                <a:lumMod val="25000"/>
                <a:lumOff val="75000"/>
              </a:srgbClr>
            </a:solidFill>
            <a:prstDash val="solid"/>
            <a:round/>
          </a:ln>
          <a:effectLst/>
        </c:spPr>
        <c:txPr>
          <a:bodyPr rot="-60000000" spcFirstLastPara="0" vertOverflow="ellipsis" vert="horz" wrap="square" anchor="ctr" anchorCtr="true"/>
          <a:lstStyle/>
          <a:p>
            <a:pPr>
              <a:defRPr lang="zh-CN" sz="1000" b="0" i="0" u="none" strike="noStrike" kern="1200" baseline="0">
                <a:solidFill>
                  <a:sysClr val="windowText" lastClr="000000"/>
                </a:solidFill>
                <a:latin typeface="Times New Roman" charset="0"/>
                <a:ea typeface="Times New Roman" charset="0"/>
                <a:cs typeface="Times New Roman" charset="0"/>
                <a:sym typeface="Times New Roman" charset="0"/>
              </a:defRPr>
            </a:pPr>
          </a:p>
        </c:txPr>
        <c:crossAx val="632488839"/>
        <c:crosses val="autoZero"/>
        <c:crossBetween val="midCat"/>
      </c:valAx>
      <c:spPr>
        <a:noFill/>
        <a:ln>
          <a:noFill/>
        </a:ln>
        <a:effectLst/>
      </c:spPr>
    </c:plotArea>
    <c:plotVisOnly val="true"/>
    <c:dispBlanksAs val="gap"/>
    <c:showDLblsOverMax val="false"/>
  </c:chart>
  <c:spPr>
    <a:solidFill>
      <a:srgbClr val="FFFFFF"/>
    </a:solidFill>
    <a:ln w="9525" cap="flat" cmpd="sng" algn="ctr">
      <a:solidFill>
        <a:srgbClr val="D9D9D9">
          <a:lumMod val="15000"/>
          <a:lumOff val="85000"/>
        </a:srgbClr>
      </a:solidFill>
      <a:prstDash val="solid"/>
      <a:round/>
    </a:ln>
    <a:effectLst/>
  </c:spPr>
  <c:txPr>
    <a:bodyPr wrap="square"/>
    <a:lstStyle/>
    <a:p>
      <a:pPr>
        <a:defRPr lang="zh-CN"/>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defTabSz="914400">
              <a:defRPr lang="zh-CN" sz="1400" b="0" i="0" u="none" strike="noStrike" kern="1200" spc="0" baseline="0">
                <a:solidFill>
                  <a:srgbClr val="595959">
                    <a:lumMod val="65000"/>
                    <a:lumOff val="35000"/>
                  </a:srgbClr>
                </a:solidFill>
                <a:latin typeface="+mn-lt"/>
                <a:ea typeface="+mn-ea"/>
                <a:cs typeface="+mn-cs"/>
              </a:defRPr>
            </a:pPr>
            <a:r>
              <a:rPr>
                <a:solidFill>
                  <a:sysClr val="windowText" lastClr="000000"/>
                </a:solidFill>
              </a:rPr>
              <a:t>工农水库泄流曲线</a:t>
            </a:r>
            <a:endParaRPr sz="1400" b="0" i="0" u="none" strike="noStrike" baseline="0">
              <a:solidFill>
                <a:sysClr val="windowText" lastClr="000000"/>
              </a:solidFill>
              <a:latin typeface="宋体" charset="-122"/>
              <a:ea typeface="宋体" charset="-122"/>
              <a:cs typeface="宋体" charset="-122"/>
            </a:endParaRPr>
          </a:p>
        </c:rich>
      </c:tx>
      <c:layout/>
      <c:overlay val="false"/>
      <c:spPr>
        <a:noFill/>
        <a:ln>
          <a:noFill/>
        </a:ln>
        <a:effectLst/>
      </c:spPr>
    </c:title>
    <c:autoTitleDeleted val="false"/>
    <c:plotArea>
      <c:layout/>
      <c:scatterChart>
        <c:scatterStyle val="smooth"/>
        <c:varyColors val="false"/>
        <c:ser>
          <c:idx val="0"/>
          <c:order val="0"/>
          <c:spPr>
            <a:ln w="19050" cap="rnd" cmpd="sng" algn="ctr">
              <a:solidFill>
                <a:srgbClr val="000000"/>
              </a:solidFill>
              <a:prstDash val="solid"/>
              <a:round/>
            </a:ln>
            <a:effectLst/>
          </c:spPr>
          <c:marker>
            <c:symbol val="none"/>
          </c:marker>
          <c:dLbls>
            <c:delete val="true"/>
          </c:dLbls>
          <c:xVal>
            <c:numRef>
              <c:f>'[03-调洪特征曲线及洪水线0413.xls]特征曲线-新中'!$J$3:$J$15</c:f>
              <c:numCache>
                <c:formatCode>0.00_ </c:formatCode>
                <c:ptCount val="13"/>
                <c:pt idx="0">
                  <c:v>0</c:v>
                </c:pt>
                <c:pt idx="1">
                  <c:v>18.82</c:v>
                </c:pt>
                <c:pt idx="2">
                  <c:v>53.23</c:v>
                </c:pt>
                <c:pt idx="3">
                  <c:v>97.72</c:v>
                </c:pt>
                <c:pt idx="4">
                  <c:v>150.55</c:v>
                </c:pt>
                <c:pt idx="5">
                  <c:v>210.49</c:v>
                </c:pt>
                <c:pt idx="6">
                  <c:v>271.81</c:v>
                </c:pt>
                <c:pt idx="7">
                  <c:v>348.63</c:v>
                </c:pt>
                <c:pt idx="8">
                  <c:v>425.82</c:v>
                </c:pt>
                <c:pt idx="9">
                  <c:v>508</c:v>
                </c:pt>
              </c:numCache>
            </c:numRef>
          </c:xVal>
          <c:yVal>
            <c:numRef>
              <c:f>'[03-调洪特征曲线及洪水线0413.xls]特征曲线-新中'!$K$3:$K$15</c:f>
              <c:numCache>
                <c:formatCode>0.00_ </c:formatCode>
                <c:ptCount val="13"/>
                <c:pt idx="0">
                  <c:v>270.36</c:v>
                </c:pt>
                <c:pt idx="1">
                  <c:v>270.66</c:v>
                </c:pt>
                <c:pt idx="2">
                  <c:v>270.96</c:v>
                </c:pt>
                <c:pt idx="3">
                  <c:v>271.26</c:v>
                </c:pt>
                <c:pt idx="4">
                  <c:v>271.56</c:v>
                </c:pt>
                <c:pt idx="5">
                  <c:v>271.86</c:v>
                </c:pt>
                <c:pt idx="6">
                  <c:v>272.16</c:v>
                </c:pt>
                <c:pt idx="7">
                  <c:v>272.46</c:v>
                </c:pt>
                <c:pt idx="8">
                  <c:v>272.76</c:v>
                </c:pt>
                <c:pt idx="9">
                  <c:v>273.06</c:v>
                </c:pt>
                <c:pt idx="10">
                  <c:v>0</c:v>
                </c:pt>
                <c:pt idx="11">
                  <c:v>0</c:v>
                </c:pt>
                <c:pt idx="12">
                  <c:v>0</c:v>
                </c:pt>
              </c:numCache>
            </c:numRef>
          </c:yVal>
          <c:smooth val="true"/>
        </c:ser>
        <c:dLbls>
          <c:showLegendKey val="false"/>
          <c:showVal val="false"/>
          <c:showCatName val="false"/>
          <c:showSerName val="false"/>
          <c:showPercent val="false"/>
          <c:showBubbleSize val="false"/>
        </c:dLbls>
        <c:axId val="132624726"/>
        <c:axId val="64886814"/>
      </c:scatterChart>
      <c:valAx>
        <c:axId val="132624726"/>
        <c:scaling>
          <c:orientation val="minMax"/>
        </c:scaling>
        <c:delete val="false"/>
        <c:axPos val="b"/>
        <c:majorGridlines>
          <c:spPr>
            <a:ln w="9525" cap="flat" cmpd="sng" algn="ctr">
              <a:solidFill>
                <a:srgbClr val="7F7F7F">
                  <a:lumMod val="50000"/>
                </a:srgbClr>
              </a:solidFill>
              <a:prstDash val="solid"/>
              <a:round/>
            </a:ln>
            <a:effectLst/>
          </c:spPr>
        </c:majorGridlines>
        <c:title>
          <c:tx>
            <c:rich>
              <a:bodyPr rot="0" spcFirstLastPara="0" vertOverflow="ellipsis" vert="horz" wrap="square" anchor="ctr" anchorCtr="true"/>
              <a:lstStyle/>
              <a:p>
                <a:pPr defTabSz="914400">
                  <a:defRPr lang="zh-CN" sz="1000" b="0" i="0" u="none" strike="noStrike" kern="1200" baseline="0">
                    <a:solidFill>
                      <a:srgbClr val="595959">
                        <a:lumMod val="65000"/>
                        <a:lumOff val="35000"/>
                      </a:srgbClr>
                    </a:solidFill>
                    <a:latin typeface="+mn-lt"/>
                    <a:ea typeface="+mn-ea"/>
                    <a:cs typeface="+mn-cs"/>
                  </a:defRPr>
                </a:pPr>
                <a:r>
                  <a:rPr sz="1000" b="0" i="0" u="none" strike="noStrike" baseline="0">
                    <a:solidFill>
                      <a:srgbClr val="000000"/>
                    </a:solidFill>
                    <a:latin typeface="宋体" charset="-122"/>
                    <a:ea typeface="宋体" charset="-122"/>
                    <a:cs typeface="宋体" charset="-122"/>
                  </a:rPr>
                  <a:t>流量（</a:t>
                </a:r>
                <a:r>
                  <a:rPr lang="en-US" altLang="zh-CN" sz="1000" b="0" i="0" u="none" strike="noStrike" baseline="0">
                    <a:solidFill>
                      <a:srgbClr val="000000"/>
                    </a:solidFill>
                    <a:latin typeface="Times New Roman" charset="0"/>
                    <a:ea typeface="Times New Roman" charset="0"/>
                    <a:cs typeface="Times New Roman" charset="0"/>
                  </a:rPr>
                  <a:t>m³/s)</a:t>
                </a:r>
                <a:endParaRPr lang="en-US" altLang="zh-CN" sz="1200" b="0" i="0" u="none" strike="noStrike" baseline="0">
                  <a:solidFill>
                    <a:srgbClr val="000000"/>
                  </a:solidFill>
                  <a:latin typeface="宋体" charset="-122"/>
                  <a:ea typeface="宋体" charset="-122"/>
                  <a:cs typeface="宋体" charset="-122"/>
                </a:endParaRPr>
              </a:p>
            </c:rich>
          </c:tx>
          <c:layout/>
          <c:overlay val="false"/>
          <c:spPr>
            <a:noFill/>
            <a:ln>
              <a:noFill/>
            </a:ln>
            <a:effectLst/>
          </c:spPr>
        </c:title>
        <c:numFmt formatCode="0.00_ " sourceLinked="true"/>
        <c:majorTickMark val="none"/>
        <c:minorTickMark val="none"/>
        <c:tickLblPos val="nextTo"/>
        <c:spPr>
          <a:noFill/>
          <a:ln w="9525" cap="flat" cmpd="sng" algn="ctr">
            <a:solidFill>
              <a:srgbClr val="BFBFBF">
                <a:lumMod val="25000"/>
                <a:lumOff val="75000"/>
              </a:srgbClr>
            </a:solidFill>
            <a:prstDash val="solid"/>
            <a:round/>
          </a:ln>
          <a:effectLst/>
        </c:spPr>
        <c:txPr>
          <a:bodyPr rot="-60000000" spcFirstLastPara="0" vertOverflow="ellipsis" vert="horz" wrap="square" anchor="ctr" anchorCtr="true"/>
          <a:lstStyle/>
          <a:p>
            <a:pPr>
              <a:defRPr lang="zh-CN" sz="1000" b="0" i="0" u="none" strike="noStrike" kern="1200" baseline="0">
                <a:solidFill>
                  <a:sysClr val="windowText" lastClr="000000"/>
                </a:solidFill>
                <a:latin typeface="Times New Roman" charset="0"/>
                <a:ea typeface="Times New Roman" charset="0"/>
                <a:cs typeface="Times New Roman" charset="0"/>
                <a:sym typeface="Times New Roman" charset="0"/>
              </a:defRPr>
            </a:pPr>
          </a:p>
        </c:txPr>
        <c:crossAx val="64886814"/>
        <c:crosses val="autoZero"/>
        <c:crossBetween val="midCat"/>
      </c:valAx>
      <c:valAx>
        <c:axId val="64886814"/>
        <c:scaling>
          <c:orientation val="minMax"/>
        </c:scaling>
        <c:delete val="false"/>
        <c:axPos val="l"/>
        <c:majorGridlines>
          <c:spPr>
            <a:ln w="9525" cap="flat" cmpd="sng" algn="ctr">
              <a:solidFill>
                <a:srgbClr val="7F7F7F">
                  <a:lumMod val="50000"/>
                </a:srgbClr>
              </a:solidFill>
              <a:prstDash val="solid"/>
              <a:round/>
            </a:ln>
            <a:effectLst/>
          </c:spPr>
        </c:majorGridlines>
        <c:title>
          <c:tx>
            <c:rich>
              <a:bodyPr rot="-5400000" spcFirstLastPara="0" vertOverflow="ellipsis" vert="horz" wrap="square" anchor="ctr" anchorCtr="true"/>
              <a:lstStyle/>
              <a:p>
                <a:pPr defTabSz="914400">
                  <a:defRPr lang="zh-CN" sz="1000" b="0" i="0" u="none" strike="noStrike" kern="1200" baseline="0">
                    <a:solidFill>
                      <a:srgbClr val="595959">
                        <a:lumMod val="65000"/>
                        <a:lumOff val="35000"/>
                      </a:srgbClr>
                    </a:solidFill>
                    <a:latin typeface="+mn-lt"/>
                    <a:ea typeface="+mn-ea"/>
                    <a:cs typeface="+mn-cs"/>
                  </a:defRPr>
                </a:pPr>
                <a:r>
                  <a:rPr>
                    <a:solidFill>
                      <a:sysClr val="windowText" lastClr="000000"/>
                    </a:solidFill>
                    <a:latin typeface="Times New Roman" charset="0"/>
                    <a:cs typeface="Times New Roman" charset="0"/>
                  </a:rPr>
                  <a:t>水位（m）</a:t>
                </a:r>
                <a:endParaRPr sz="1000" b="0" i="0" u="none" strike="noStrike" baseline="0">
                  <a:solidFill>
                    <a:sysClr val="windowText" lastClr="000000"/>
                  </a:solidFill>
                  <a:latin typeface="Times New Roman" charset="0"/>
                  <a:ea typeface="宋体" charset="-122"/>
                  <a:cs typeface="Times New Roman" charset="0"/>
                </a:endParaRPr>
              </a:p>
            </c:rich>
          </c:tx>
          <c:layout/>
          <c:overlay val="false"/>
          <c:spPr>
            <a:noFill/>
            <a:ln>
              <a:noFill/>
            </a:ln>
            <a:effectLst/>
          </c:spPr>
        </c:title>
        <c:numFmt formatCode="0.00_ " sourceLinked="true"/>
        <c:majorTickMark val="none"/>
        <c:minorTickMark val="none"/>
        <c:tickLblPos val="nextTo"/>
        <c:spPr>
          <a:noFill/>
          <a:ln w="9525" cap="flat" cmpd="sng" algn="ctr">
            <a:solidFill>
              <a:srgbClr val="BFBFBF">
                <a:lumMod val="25000"/>
                <a:lumOff val="75000"/>
              </a:srgbClr>
            </a:solidFill>
            <a:prstDash val="solid"/>
            <a:round/>
          </a:ln>
          <a:effectLst/>
        </c:spPr>
        <c:txPr>
          <a:bodyPr rot="-60000000" spcFirstLastPara="0" vertOverflow="ellipsis" vert="horz" wrap="square" anchor="ctr" anchorCtr="true"/>
          <a:lstStyle/>
          <a:p>
            <a:pPr>
              <a:defRPr lang="zh-CN" sz="1000" b="0" i="0" u="none" strike="noStrike" kern="1200" baseline="0">
                <a:solidFill>
                  <a:sysClr val="windowText" lastClr="000000"/>
                </a:solidFill>
                <a:latin typeface="Times New Roman" charset="0"/>
                <a:ea typeface="Times New Roman" charset="0"/>
                <a:cs typeface="Times New Roman" charset="0"/>
                <a:sym typeface="Times New Roman" charset="0"/>
              </a:defRPr>
            </a:pPr>
          </a:p>
        </c:txPr>
        <c:crossAx val="132624726"/>
        <c:crosses val="autoZero"/>
        <c:crossBetween val="midCat"/>
      </c:valAx>
      <c:spPr>
        <a:noFill/>
        <a:ln>
          <a:noFill/>
        </a:ln>
        <a:effectLst/>
      </c:spPr>
    </c:plotArea>
    <c:plotVisOnly val="true"/>
    <c:dispBlanksAs val="gap"/>
    <c:showDLblsOverMax val="false"/>
  </c:chart>
  <c:spPr>
    <a:solidFill>
      <a:srgbClr val="FFFFFF"/>
    </a:solidFill>
    <a:ln w="9525" cap="flat" cmpd="sng" algn="ctr">
      <a:solidFill>
        <a:srgbClr val="D9D9D9">
          <a:lumMod val="15000"/>
          <a:lumOff val="85000"/>
        </a:srgbClr>
      </a:solidFill>
      <a:prstDash val="solid"/>
      <a:round/>
    </a:ln>
    <a:effectLst/>
  </c:spPr>
  <c:txPr>
    <a:bodyPr wrap="square"/>
    <a:lstStyle/>
    <a:p>
      <a:pPr>
        <a:defRPr lang="zh-CN"/>
      </a:pPr>
    </a:p>
  </c:txPr>
  <c:externalData r:id="rId1">
    <c:autoUpdate val="false"/>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6222</Words>
  <Characters>35468</Characters>
  <Lines>295</Lines>
  <Paragraphs>83</Paragraphs>
  <TotalTime>19</TotalTime>
  <ScaleCrop>false</ScaleCrop>
  <LinksUpToDate>false</LinksUpToDate>
  <CharactersWithSpaces>41607</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2021-11-07T10:57:00Z</dcterms:created>
  <dc:creator>Administrator</dc:creator>
  <cp:lastModifiedBy>guest</cp:lastModifiedBy>
  <dcterms:modified xsi:type="dcterms:W3CDTF">2024-12-17T14:42:53Z</dcterms:modified>
  <dc:title>目 录</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ICV">
    <vt:lpwstr>C7C03196EFF6411C94E712E6934E26B0</vt:lpwstr>
  </property>
</Properties>
</file>