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FC" w:rsidRDefault="007114FC" w:rsidP="007114FC">
      <w:pPr>
        <w:pStyle w:val="afc"/>
        <w:rPr>
          <w:rFonts w:hint="eastAsia"/>
        </w:rPr>
      </w:pPr>
      <w:r w:rsidRPr="007114FC">
        <w:rPr>
          <w:rFonts w:eastAsia="MS Mincho"/>
        </w:rPr>
        <w:t>​</w:t>
      </w:r>
    </w:p>
    <w:p w:rsidR="007114FC" w:rsidRDefault="007114FC" w:rsidP="007114FC">
      <w:pPr>
        <w:pStyle w:val="afc"/>
        <w:rPr>
          <w:rFonts w:hint="eastAsia"/>
        </w:rPr>
      </w:pPr>
      <w:r w:rsidRPr="007114FC">
        <w:rPr>
          <w:rFonts w:hint="eastAsia"/>
        </w:rPr>
        <w:t>重庆市沙坪坝区民政局重庆市沙坪坝区财政局</w:t>
      </w:r>
    </w:p>
    <w:p w:rsidR="007114FC" w:rsidRDefault="007114FC" w:rsidP="007114FC">
      <w:pPr>
        <w:pStyle w:val="afc"/>
        <w:rPr>
          <w:rFonts w:hint="eastAsia"/>
        </w:rPr>
      </w:pPr>
      <w:bookmarkStart w:id="0" w:name="_GoBack"/>
      <w:bookmarkEnd w:id="0"/>
      <w:r w:rsidRPr="007114FC">
        <w:rPr>
          <w:rFonts w:hint="eastAsia"/>
        </w:rPr>
        <w:t>关于印发《重庆市沙坪坝区社区养老服务中心（站）建设及运营补助实施细则（试行）》的通知</w:t>
      </w:r>
    </w:p>
    <w:p w:rsidR="007114FC" w:rsidRPr="007114FC" w:rsidRDefault="007114FC" w:rsidP="007114FC">
      <w:pPr>
        <w:widowControl/>
        <w:spacing w:line="420" w:lineRule="atLeast"/>
        <w:jc w:val="center"/>
        <w:rPr>
          <w:rFonts w:ascii="宋体" w:hAnsi="宋体" w:cs="宋体" w:hint="eastAsia"/>
          <w:kern w:val="0"/>
          <w:sz w:val="20"/>
          <w:szCs w:val="20"/>
        </w:rPr>
      </w:pPr>
    </w:p>
    <w:p w:rsidR="007114FC" w:rsidRPr="007114FC" w:rsidRDefault="007114FC" w:rsidP="007114FC">
      <w:pPr>
        <w:widowControl/>
        <w:spacing w:before="100" w:beforeAutospacing="1" w:line="420" w:lineRule="atLeast"/>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各镇（街）、相关单位，各养老机构：</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经区十八届人民政府第</w:t>
      </w:r>
      <w:r w:rsidRPr="007114FC">
        <w:rPr>
          <w:rFonts w:ascii="宋体" w:eastAsia="宋体" w:hAnsi="宋体" w:cs="宋体"/>
          <w:kern w:val="0"/>
          <w:sz w:val="32"/>
          <w:szCs w:val="32"/>
        </w:rPr>
        <w:t>64</w:t>
      </w:r>
      <w:r w:rsidRPr="007114FC">
        <w:rPr>
          <w:rFonts w:ascii="方正仿宋_GBK" w:eastAsia="方正仿宋_GBK" w:hAnsi="宋体" w:cs="宋体" w:hint="eastAsia"/>
          <w:kern w:val="0"/>
          <w:sz w:val="32"/>
          <w:szCs w:val="32"/>
        </w:rPr>
        <w:t>次常务会议审议通过，现将《重庆市沙坪坝区社区养老服务中心（站）建设及运营补助实施细则（试行）》印发你们，请认真遵照执行。</w:t>
      </w:r>
    </w:p>
    <w:p w:rsidR="007114FC" w:rsidRPr="007114FC" w:rsidRDefault="007114FC" w:rsidP="007114FC">
      <w:pPr>
        <w:widowControl/>
        <w:spacing w:before="100" w:beforeAutospacing="1" w:line="590" w:lineRule="atLeast"/>
        <w:ind w:firstLine="634"/>
        <w:jc w:val="left"/>
        <w:rPr>
          <w:rFonts w:ascii="宋体" w:eastAsia="宋体" w:hAnsi="宋体" w:cs="宋体"/>
          <w:kern w:val="0"/>
          <w:sz w:val="20"/>
          <w:szCs w:val="20"/>
        </w:rPr>
      </w:pPr>
    </w:p>
    <w:p w:rsidR="007114FC" w:rsidRPr="007114FC" w:rsidRDefault="007114FC" w:rsidP="007114FC">
      <w:pPr>
        <w:widowControl/>
        <w:spacing w:before="100" w:beforeAutospacing="1" w:line="420" w:lineRule="atLeast"/>
        <w:jc w:val="right"/>
        <w:rPr>
          <w:rFonts w:ascii="宋体" w:eastAsia="宋体" w:hAnsi="宋体" w:cs="宋体"/>
          <w:spacing w:val="-10"/>
          <w:kern w:val="0"/>
          <w:sz w:val="20"/>
          <w:szCs w:val="20"/>
        </w:rPr>
      </w:pPr>
      <w:r w:rsidRPr="007114FC">
        <w:rPr>
          <w:rFonts w:ascii="方正仿宋_GBK" w:eastAsia="方正仿宋_GBK" w:hAnsi="宋体" w:cs="宋体" w:hint="eastAsia"/>
          <w:spacing w:val="-10"/>
          <w:kern w:val="0"/>
          <w:sz w:val="32"/>
          <w:szCs w:val="32"/>
        </w:rPr>
        <w:t>重庆市沙坪坝区民政局</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Times New Roman" w:eastAsia="宋体" w:hAnsi="Times New Roman" w:cs="Times New Roman"/>
          <w:spacing w:val="-10"/>
          <w:kern w:val="0"/>
          <w:sz w:val="32"/>
          <w:szCs w:val="32"/>
        </w:rPr>
        <w:t> </w:t>
      </w:r>
      <w:r w:rsidRPr="007114FC">
        <w:rPr>
          <w:rFonts w:ascii="方正仿宋_GBK" w:eastAsia="方正仿宋_GBK" w:hAnsi="宋体" w:cs="宋体" w:hint="eastAsia"/>
          <w:spacing w:val="-10"/>
          <w:kern w:val="0"/>
          <w:sz w:val="32"/>
          <w:szCs w:val="32"/>
        </w:rPr>
        <w:t>重庆市沙坪坝区财政局</w:t>
      </w:r>
    </w:p>
    <w:p w:rsidR="007114FC" w:rsidRPr="007114FC" w:rsidRDefault="007114FC" w:rsidP="007114FC">
      <w:pPr>
        <w:widowControl/>
        <w:spacing w:before="100" w:beforeAutospacing="1" w:line="420" w:lineRule="atLeast"/>
        <w:jc w:val="right"/>
        <w:rPr>
          <w:rFonts w:ascii="宋体" w:eastAsia="宋体" w:hAnsi="宋体" w:cs="宋体"/>
          <w:kern w:val="0"/>
          <w:sz w:val="20"/>
          <w:szCs w:val="20"/>
        </w:rPr>
      </w:pPr>
      <w:r w:rsidRPr="007114FC">
        <w:rPr>
          <w:rFonts w:ascii="宋体" w:eastAsia="宋体" w:hAnsi="宋体" w:cs="宋体"/>
          <w:spacing w:val="-10"/>
          <w:kern w:val="0"/>
          <w:sz w:val="20"/>
          <w:szCs w:val="20"/>
        </w:rPr>
        <w:t> </w:t>
      </w:r>
      <w:r w:rsidRPr="007114FC">
        <w:rPr>
          <w:rFonts w:ascii="宋体" w:eastAsia="宋体" w:hAnsi="宋体" w:cs="宋体"/>
          <w:spacing w:val="-10"/>
          <w:kern w:val="0"/>
          <w:sz w:val="32"/>
          <w:szCs w:val="32"/>
        </w:rPr>
        <w:t>2019</w:t>
      </w:r>
      <w:r w:rsidRPr="007114FC">
        <w:rPr>
          <w:rFonts w:ascii="方正仿宋_GBK" w:eastAsia="方正仿宋_GBK" w:hAnsi="宋体" w:cs="宋体" w:hint="eastAsia"/>
          <w:kern w:val="0"/>
          <w:sz w:val="32"/>
          <w:szCs w:val="32"/>
        </w:rPr>
        <w:t>年</w:t>
      </w:r>
      <w:r w:rsidRPr="007114FC">
        <w:rPr>
          <w:rFonts w:ascii="宋体" w:eastAsia="宋体" w:hAnsi="宋体" w:cs="宋体"/>
          <w:kern w:val="0"/>
          <w:sz w:val="32"/>
          <w:szCs w:val="32"/>
        </w:rPr>
        <w:t>3</w:t>
      </w:r>
      <w:r w:rsidRPr="007114FC">
        <w:rPr>
          <w:rFonts w:ascii="方正仿宋_GBK" w:eastAsia="方正仿宋_GBK" w:hAnsi="宋体" w:cs="宋体" w:hint="eastAsia"/>
          <w:kern w:val="0"/>
          <w:sz w:val="32"/>
          <w:szCs w:val="32"/>
        </w:rPr>
        <w:t>月</w:t>
      </w:r>
      <w:r w:rsidRPr="007114FC">
        <w:rPr>
          <w:rFonts w:ascii="宋体" w:eastAsia="宋体" w:hAnsi="宋体" w:cs="宋体"/>
          <w:kern w:val="0"/>
          <w:sz w:val="32"/>
          <w:szCs w:val="32"/>
        </w:rPr>
        <w:t>15</w:t>
      </w:r>
      <w:r w:rsidRPr="007114FC">
        <w:rPr>
          <w:rFonts w:ascii="方正仿宋_GBK" w:eastAsia="方正仿宋_GBK" w:hAnsi="宋体" w:cs="宋体" w:hint="eastAsia"/>
          <w:kern w:val="0"/>
          <w:sz w:val="32"/>
          <w:szCs w:val="32"/>
        </w:rPr>
        <w:t>日</w:t>
      </w:r>
    </w:p>
    <w:p w:rsidR="007114FC" w:rsidRPr="007114FC" w:rsidRDefault="007114FC" w:rsidP="007114FC">
      <w:pPr>
        <w:widowControl/>
        <w:spacing w:before="100" w:beforeAutospacing="1" w:line="590" w:lineRule="atLeast"/>
        <w:ind w:firstLine="634"/>
        <w:jc w:val="left"/>
        <w:rPr>
          <w:rFonts w:ascii="宋体" w:eastAsia="宋体" w:hAnsi="宋体" w:cs="宋体"/>
          <w:spacing w:val="-10"/>
          <w:kern w:val="0"/>
          <w:sz w:val="20"/>
          <w:szCs w:val="20"/>
        </w:rPr>
      </w:pPr>
    </w:p>
    <w:p w:rsidR="007114FC" w:rsidRPr="007114FC" w:rsidRDefault="007114FC" w:rsidP="007114FC">
      <w:pPr>
        <w:widowControl/>
        <w:spacing w:before="100" w:beforeAutospacing="1" w:line="420" w:lineRule="atLeast"/>
        <w:jc w:val="center"/>
        <w:rPr>
          <w:rFonts w:ascii="宋体" w:eastAsia="宋体" w:hAnsi="宋体" w:cs="宋体"/>
          <w:kern w:val="0"/>
          <w:sz w:val="20"/>
          <w:szCs w:val="20"/>
        </w:rPr>
      </w:pPr>
    </w:p>
    <w:p w:rsidR="007114FC" w:rsidRPr="007114FC" w:rsidRDefault="007114FC" w:rsidP="007114FC">
      <w:pPr>
        <w:widowControl/>
        <w:spacing w:before="100" w:beforeAutospacing="1" w:line="420" w:lineRule="atLeast"/>
        <w:jc w:val="center"/>
        <w:rPr>
          <w:rFonts w:ascii="宋体" w:eastAsia="宋体" w:hAnsi="宋体" w:cs="宋体"/>
          <w:kern w:val="0"/>
          <w:sz w:val="20"/>
          <w:szCs w:val="20"/>
        </w:rPr>
      </w:pPr>
      <w:bookmarkStart w:id="1" w:name="OLE_LINK1"/>
      <w:bookmarkEnd w:id="1"/>
      <w:r w:rsidRPr="007114FC">
        <w:rPr>
          <w:rFonts w:ascii="方正小标宋_GBK" w:eastAsia="方正小标宋_GBK" w:hAnsi="宋体" w:cs="宋体" w:hint="eastAsia"/>
          <w:b/>
          <w:bCs/>
          <w:kern w:val="0"/>
          <w:sz w:val="44"/>
          <w:szCs w:val="44"/>
        </w:rPr>
        <w:t>重庆市沙坪坝区社区养老服务中心（站）</w:t>
      </w:r>
    </w:p>
    <w:p w:rsidR="007114FC" w:rsidRPr="007114FC" w:rsidRDefault="007114FC" w:rsidP="007114FC">
      <w:pPr>
        <w:widowControl/>
        <w:spacing w:before="100" w:beforeAutospacing="1" w:line="420" w:lineRule="atLeast"/>
        <w:jc w:val="center"/>
        <w:rPr>
          <w:rFonts w:ascii="宋体" w:eastAsia="宋体" w:hAnsi="宋体" w:cs="宋体"/>
          <w:kern w:val="0"/>
          <w:sz w:val="20"/>
          <w:szCs w:val="20"/>
        </w:rPr>
      </w:pPr>
      <w:r w:rsidRPr="007114FC">
        <w:rPr>
          <w:rFonts w:ascii="方正小标宋_GBK" w:eastAsia="方正小标宋_GBK" w:hAnsi="宋体" w:cs="宋体" w:hint="eastAsia"/>
          <w:b/>
          <w:bCs/>
          <w:kern w:val="0"/>
          <w:sz w:val="44"/>
          <w:szCs w:val="44"/>
        </w:rPr>
        <w:t>建设及运营补助实施细则（试行）</w:t>
      </w:r>
    </w:p>
    <w:p w:rsidR="007114FC" w:rsidRPr="007114FC" w:rsidRDefault="007114FC" w:rsidP="007114FC">
      <w:pPr>
        <w:widowControl/>
        <w:spacing w:before="100" w:beforeAutospacing="1" w:line="590" w:lineRule="atLeast"/>
        <w:jc w:val="left"/>
        <w:rPr>
          <w:rFonts w:ascii="宋体" w:eastAsia="宋体" w:hAnsi="宋体" w:cs="宋体"/>
          <w:kern w:val="0"/>
          <w:sz w:val="20"/>
          <w:szCs w:val="20"/>
        </w:rPr>
      </w:pP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为加强和规范我区社区养老服务中心（站）的建设及运营，提升居家和社区养老服务能力，满足社区老年人养老服务需求，根据《重庆市人民政府办公厅关于全面放开养老服务市场提升养老服务质量的实施意见》（</w:t>
      </w:r>
      <w:proofErr w:type="gramStart"/>
      <w:r w:rsidRPr="007114FC">
        <w:rPr>
          <w:rFonts w:ascii="方正仿宋_GBK" w:eastAsia="方正仿宋_GBK" w:hAnsi="宋体" w:cs="宋体" w:hint="eastAsia"/>
          <w:kern w:val="0"/>
          <w:sz w:val="32"/>
          <w:szCs w:val="32"/>
        </w:rPr>
        <w:t>渝府办</w:t>
      </w:r>
      <w:proofErr w:type="gramEnd"/>
      <w:r w:rsidRPr="007114FC">
        <w:rPr>
          <w:rFonts w:ascii="方正仿宋_GBK" w:eastAsia="方正仿宋_GBK" w:hAnsi="宋体" w:cs="宋体" w:hint="eastAsia"/>
          <w:kern w:val="0"/>
          <w:sz w:val="32"/>
          <w:szCs w:val="32"/>
        </w:rPr>
        <w:t>发〔</w:t>
      </w:r>
      <w:r w:rsidRPr="007114FC">
        <w:rPr>
          <w:rFonts w:ascii="宋体" w:eastAsia="宋体" w:hAnsi="宋体" w:cs="宋体"/>
          <w:kern w:val="0"/>
          <w:sz w:val="32"/>
          <w:szCs w:val="32"/>
        </w:rPr>
        <w:t>2017</w:t>
      </w:r>
      <w:r w:rsidRPr="007114FC">
        <w:rPr>
          <w:rFonts w:ascii="方正仿宋_GBK" w:eastAsia="方正仿宋_GBK" w:hAnsi="宋体" w:cs="宋体" w:hint="eastAsia"/>
          <w:kern w:val="0"/>
          <w:sz w:val="32"/>
          <w:szCs w:val="32"/>
        </w:rPr>
        <w:t>〕</w:t>
      </w:r>
      <w:r w:rsidRPr="007114FC">
        <w:rPr>
          <w:rFonts w:ascii="宋体" w:eastAsia="宋体" w:hAnsi="宋体" w:cs="宋体"/>
          <w:kern w:val="0"/>
          <w:sz w:val="32"/>
          <w:szCs w:val="32"/>
        </w:rPr>
        <w:t>162</w:t>
      </w:r>
      <w:r w:rsidRPr="007114FC">
        <w:rPr>
          <w:rFonts w:ascii="方正仿宋_GBK" w:eastAsia="方正仿宋_GBK" w:hAnsi="宋体" w:cs="宋体" w:hint="eastAsia"/>
          <w:kern w:val="0"/>
          <w:sz w:val="32"/>
          <w:szCs w:val="32"/>
        </w:rPr>
        <w:t>号）、《重庆市民政局</w:t>
      </w:r>
      <w:r w:rsidRPr="007114FC">
        <w:rPr>
          <w:rFonts w:ascii="宋体" w:eastAsia="宋体" w:hAnsi="宋体" w:cs="宋体"/>
          <w:kern w:val="0"/>
          <w:sz w:val="32"/>
          <w:szCs w:val="32"/>
        </w:rPr>
        <w:t>&lt;</w:t>
      </w:r>
      <w:r w:rsidRPr="007114FC">
        <w:rPr>
          <w:rFonts w:ascii="方正仿宋_GBK" w:eastAsia="方正仿宋_GBK" w:hAnsi="宋体" w:cs="宋体" w:hint="eastAsia"/>
          <w:kern w:val="0"/>
          <w:sz w:val="32"/>
          <w:szCs w:val="32"/>
        </w:rPr>
        <w:t>关于印发重庆市社区养老服务“千百工程”建设规范</w:t>
      </w:r>
      <w:r w:rsidRPr="007114FC">
        <w:rPr>
          <w:rFonts w:ascii="宋体" w:eastAsia="宋体" w:hAnsi="宋体" w:cs="宋体"/>
          <w:kern w:val="0"/>
          <w:sz w:val="32"/>
          <w:szCs w:val="32"/>
        </w:rPr>
        <w:t>&gt;</w:t>
      </w:r>
      <w:r w:rsidRPr="007114FC">
        <w:rPr>
          <w:rFonts w:ascii="方正仿宋_GBK" w:eastAsia="方正仿宋_GBK" w:hAnsi="宋体" w:cs="宋体" w:hint="eastAsia"/>
          <w:kern w:val="0"/>
          <w:sz w:val="32"/>
          <w:szCs w:val="32"/>
        </w:rPr>
        <w:t>等“千百工程”配套文件的通知》（</w:t>
      </w:r>
      <w:proofErr w:type="gramStart"/>
      <w:r w:rsidRPr="007114FC">
        <w:rPr>
          <w:rFonts w:ascii="方正仿宋_GBK" w:eastAsia="方正仿宋_GBK" w:hAnsi="宋体" w:cs="宋体" w:hint="eastAsia"/>
          <w:kern w:val="0"/>
          <w:sz w:val="32"/>
          <w:szCs w:val="32"/>
        </w:rPr>
        <w:t>渝民发</w:t>
      </w:r>
      <w:proofErr w:type="gramEnd"/>
      <w:r w:rsidRPr="007114FC">
        <w:rPr>
          <w:rFonts w:ascii="方正仿宋_GBK" w:eastAsia="方正仿宋_GBK" w:hAnsi="宋体" w:cs="宋体" w:hint="eastAsia"/>
          <w:kern w:val="0"/>
          <w:sz w:val="32"/>
          <w:szCs w:val="32"/>
        </w:rPr>
        <w:t>〔</w:t>
      </w:r>
      <w:r w:rsidRPr="007114FC">
        <w:rPr>
          <w:rFonts w:ascii="宋体" w:eastAsia="宋体" w:hAnsi="宋体" w:cs="宋体"/>
          <w:kern w:val="0"/>
          <w:sz w:val="32"/>
          <w:szCs w:val="32"/>
        </w:rPr>
        <w:t>2018</w:t>
      </w:r>
      <w:r w:rsidRPr="007114FC">
        <w:rPr>
          <w:rFonts w:ascii="方正仿宋_GBK" w:eastAsia="方正仿宋_GBK" w:hAnsi="宋体" w:cs="宋体" w:hint="eastAsia"/>
          <w:kern w:val="0"/>
          <w:sz w:val="32"/>
          <w:szCs w:val="32"/>
        </w:rPr>
        <w:t>〕</w:t>
      </w:r>
      <w:r w:rsidRPr="007114FC">
        <w:rPr>
          <w:rFonts w:ascii="宋体" w:eastAsia="宋体" w:hAnsi="宋体" w:cs="宋体"/>
          <w:kern w:val="0"/>
          <w:sz w:val="32"/>
          <w:szCs w:val="32"/>
        </w:rPr>
        <w:t>13</w:t>
      </w:r>
      <w:r w:rsidRPr="007114FC">
        <w:rPr>
          <w:rFonts w:ascii="方正仿宋_GBK" w:eastAsia="方正仿宋_GBK" w:hAnsi="宋体" w:cs="宋体" w:hint="eastAsia"/>
          <w:kern w:val="0"/>
          <w:sz w:val="32"/>
          <w:szCs w:val="32"/>
        </w:rPr>
        <w:t>号）等文件精神制定本实施细则。</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黑体_GBK" w:eastAsia="方正黑体_GBK" w:hAnsi="宋体" w:cs="宋体" w:hint="eastAsia"/>
          <w:kern w:val="0"/>
          <w:sz w:val="32"/>
          <w:szCs w:val="32"/>
        </w:rPr>
        <w:t>一、基本原则</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社区养老服务中心（站）建设和运营应遵循以下四项原则：</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（一）以人为本原则。以尊重和关爱老年人为理念，从老年人实际需求出发，以老年人的生命财产安全为底线，为老年人提供便捷、优质、安全的养老服务。</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（二）因地制宜原则。立足镇街和社区实际，通过新建小区配置，</w:t>
      </w:r>
      <w:r w:rsidRPr="007114FC">
        <w:rPr>
          <w:rFonts w:ascii="方正仿宋_GBK" w:eastAsia="方正仿宋_GBK" w:hAnsi="宋体" w:cs="宋体" w:hint="eastAsia"/>
          <w:spacing w:val="-2"/>
          <w:kern w:val="0"/>
          <w:sz w:val="32"/>
          <w:szCs w:val="32"/>
        </w:rPr>
        <w:t>协调、整合、改造</w:t>
      </w:r>
      <w:r w:rsidRPr="007114FC">
        <w:rPr>
          <w:rFonts w:ascii="方正仿宋_GBK" w:eastAsia="方正仿宋_GBK" w:hAnsi="宋体" w:cs="宋体" w:hint="eastAsia"/>
          <w:kern w:val="0"/>
          <w:sz w:val="32"/>
          <w:szCs w:val="32"/>
        </w:rPr>
        <w:t>现有的社区公共服务和福利设施场地或采取购买置换、租赁、转换，以及社会力量自建等方式规划建设。</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lastRenderedPageBreak/>
        <w:t>（三）公平公正原则。突出政府公共养老服务职能，建立基本公共养老服务清单，健全适度普惠制度，能够为所有老年人提供基础服务，促进养老服务产品多样化，不因老年人个体状况差异而产生服务歧视，满足老年人多层次、多元化、社会化养老服务。</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（四）社会运作原则。实施市场化运作，</w:t>
      </w:r>
      <w:r w:rsidRPr="007114FC">
        <w:rPr>
          <w:rFonts w:ascii="方正仿宋_GBK" w:eastAsia="方正仿宋_GBK" w:hAnsi="宋体" w:cs="宋体" w:hint="eastAsia"/>
          <w:kern w:val="0"/>
          <w:sz w:val="32"/>
          <w:szCs w:val="32"/>
          <w:shd w:val="clear" w:color="auto" w:fill="FFFFFF"/>
        </w:rPr>
        <w:t>采取政策扶持与市场参与相结合的方式，</w:t>
      </w:r>
      <w:r w:rsidRPr="007114FC">
        <w:rPr>
          <w:rFonts w:ascii="方正仿宋_GBK" w:eastAsia="方正仿宋_GBK" w:hAnsi="宋体" w:cs="宋体" w:hint="eastAsia"/>
          <w:kern w:val="0"/>
          <w:sz w:val="32"/>
          <w:szCs w:val="32"/>
        </w:rPr>
        <w:t>引导社会组织或者社会企业等社会服务机构积极参与社区居家养老服务，</w:t>
      </w:r>
      <w:r w:rsidRPr="007114FC">
        <w:rPr>
          <w:rFonts w:ascii="方正仿宋_GBK" w:eastAsia="方正仿宋_GBK" w:hAnsi="宋体" w:cs="宋体" w:hint="eastAsia"/>
          <w:kern w:val="0"/>
          <w:sz w:val="32"/>
          <w:szCs w:val="32"/>
          <w:shd w:val="clear" w:color="auto" w:fill="FFFFFF"/>
        </w:rPr>
        <w:t>确保社区养老服务中心（站）健康可持续运行。</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黑体_GBK" w:eastAsia="方正黑体_GBK" w:hAnsi="宋体" w:cs="宋体" w:hint="eastAsia"/>
          <w:kern w:val="0"/>
          <w:sz w:val="32"/>
          <w:szCs w:val="32"/>
        </w:rPr>
        <w:t>二、功能设置</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社区养老服务中心是指以</w:t>
      </w:r>
      <w:proofErr w:type="gramStart"/>
      <w:r w:rsidRPr="007114FC">
        <w:rPr>
          <w:rFonts w:ascii="方正仿宋_GBK" w:eastAsia="方正仿宋_GBK" w:hAnsi="宋体" w:cs="宋体" w:hint="eastAsia"/>
          <w:kern w:val="0"/>
          <w:sz w:val="32"/>
          <w:szCs w:val="32"/>
        </w:rPr>
        <w:t>区域链块为</w:t>
      </w:r>
      <w:proofErr w:type="gramEnd"/>
      <w:r w:rsidRPr="007114FC">
        <w:rPr>
          <w:rFonts w:ascii="方正仿宋_GBK" w:eastAsia="方正仿宋_GBK" w:hAnsi="宋体" w:cs="宋体" w:hint="eastAsia"/>
          <w:kern w:val="0"/>
          <w:sz w:val="32"/>
          <w:szCs w:val="32"/>
        </w:rPr>
        <w:t>服务单元，以市场需求为主导，为辖区内老年人提供居家服务、康复护理、医疗保健、精神慰藉、文化娱乐等养老服务的区域性综合体。</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站是以社区为基本服务单元，以承担政府基本公共养老服务为主，以市场化服务为补充，为辖区内老年人提供健康档案、数据采集、信息资讯、评估评价以及居家老人日常照护等服务的公共服务设施。</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社区养老服务中心原则上应设置以下八大功能区：</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lastRenderedPageBreak/>
        <w:t>（一）服务接待区：设置服务台、品牌形象展示墙，应具有服务咨询、形象展示、服务项目及收费公示等功能。</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（二）生活照料区：应具有助急、助餐、助洁、助行、助浴、家政服务等居家生活服务功能；拓展金融、</w:t>
      </w:r>
      <w:proofErr w:type="gramStart"/>
      <w:r w:rsidRPr="007114FC">
        <w:rPr>
          <w:rFonts w:ascii="方正仿宋_GBK" w:eastAsia="方正仿宋_GBK" w:hAnsi="宋体" w:cs="宋体" w:hint="eastAsia"/>
          <w:kern w:val="0"/>
          <w:sz w:val="32"/>
          <w:szCs w:val="32"/>
        </w:rPr>
        <w:t>适老产品</w:t>
      </w:r>
      <w:proofErr w:type="gramEnd"/>
      <w:r w:rsidRPr="007114FC">
        <w:rPr>
          <w:rFonts w:ascii="方正仿宋_GBK" w:eastAsia="方正仿宋_GBK" w:hAnsi="宋体" w:cs="宋体" w:hint="eastAsia"/>
          <w:kern w:val="0"/>
          <w:sz w:val="32"/>
          <w:szCs w:val="32"/>
        </w:rPr>
        <w:t>租赁等服务功能。</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（三）托养护理区：应具有短期照料、托养</w:t>
      </w:r>
      <w:proofErr w:type="gramStart"/>
      <w:r w:rsidRPr="007114FC">
        <w:rPr>
          <w:rFonts w:ascii="方正仿宋_GBK" w:eastAsia="方正仿宋_GBK" w:hAnsi="宋体" w:cs="宋体" w:hint="eastAsia"/>
          <w:kern w:val="0"/>
          <w:sz w:val="32"/>
          <w:szCs w:val="32"/>
        </w:rPr>
        <w:t>介</w:t>
      </w:r>
      <w:proofErr w:type="gramEnd"/>
      <w:r w:rsidRPr="007114FC">
        <w:rPr>
          <w:rFonts w:ascii="方正仿宋_GBK" w:eastAsia="方正仿宋_GBK" w:hAnsi="宋体" w:cs="宋体" w:hint="eastAsia"/>
          <w:kern w:val="0"/>
          <w:sz w:val="32"/>
          <w:szCs w:val="32"/>
        </w:rPr>
        <w:t>护、上门护理等服务功能；有条件和需求的，应设置养老服务床位。</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（四）健康管理区：应具有健康数据与档案、健康指导、康复理疗、保健养生、送药助</w:t>
      </w:r>
      <w:proofErr w:type="gramStart"/>
      <w:r w:rsidRPr="007114FC">
        <w:rPr>
          <w:rFonts w:ascii="方正仿宋_GBK" w:eastAsia="方正仿宋_GBK" w:hAnsi="宋体" w:cs="宋体" w:hint="eastAsia"/>
          <w:kern w:val="0"/>
          <w:sz w:val="32"/>
          <w:szCs w:val="32"/>
        </w:rPr>
        <w:t>医</w:t>
      </w:r>
      <w:proofErr w:type="gramEnd"/>
      <w:r w:rsidRPr="007114FC">
        <w:rPr>
          <w:rFonts w:ascii="方正仿宋_GBK" w:eastAsia="方正仿宋_GBK" w:hAnsi="宋体" w:cs="宋体" w:hint="eastAsia"/>
          <w:kern w:val="0"/>
          <w:sz w:val="32"/>
          <w:szCs w:val="32"/>
        </w:rPr>
        <w:t>、</w:t>
      </w:r>
      <w:proofErr w:type="gramStart"/>
      <w:r w:rsidRPr="007114FC">
        <w:rPr>
          <w:rFonts w:ascii="方正仿宋_GBK" w:eastAsia="方正仿宋_GBK" w:hAnsi="宋体" w:cs="宋体" w:hint="eastAsia"/>
          <w:kern w:val="0"/>
          <w:sz w:val="32"/>
          <w:szCs w:val="32"/>
        </w:rPr>
        <w:t>安宁疗护等</w:t>
      </w:r>
      <w:proofErr w:type="gramEnd"/>
      <w:r w:rsidRPr="007114FC">
        <w:rPr>
          <w:rFonts w:ascii="方正仿宋_GBK" w:eastAsia="方正仿宋_GBK" w:hAnsi="宋体" w:cs="宋体" w:hint="eastAsia"/>
          <w:kern w:val="0"/>
          <w:sz w:val="32"/>
          <w:szCs w:val="32"/>
        </w:rPr>
        <w:t>服务功能。</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五）文化教育区：应具有音乐、舞蹈、书画、艺术、老年大学教学等服务功能；有条件的，应设置养老、孝老、敬老文化展示区域，鼓励设置具有地方特色的文化教育、娱乐创新项目；拓展护理技能、老幼互动等教育培训功能。</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（六）人文关怀区：应具有心理咨询、精神慰藉、老年陪伴、纠纷调解、法律援助等服务功能。</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（七）休闲娱乐区：应具有棋牌娱乐、旅游健身、手工艺创、视听鉴赏、休闲聊天等服务功能。</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（八）运营管理区：应设置日常办公用房，搭建信息数据平台，按要求配置消防安全设施设备。</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lastRenderedPageBreak/>
        <w:t>社区养老服务中心托养护理区日间照料床位一般不超过</w:t>
      </w:r>
      <w:r w:rsidRPr="007114FC">
        <w:rPr>
          <w:rFonts w:ascii="宋体" w:eastAsia="宋体" w:hAnsi="宋体" w:cs="宋体"/>
          <w:kern w:val="0"/>
          <w:sz w:val="32"/>
          <w:szCs w:val="32"/>
        </w:rPr>
        <w:t>50</w:t>
      </w:r>
      <w:r w:rsidRPr="007114FC">
        <w:rPr>
          <w:rFonts w:ascii="方正仿宋_GBK" w:eastAsia="方正仿宋_GBK" w:hAnsi="宋体" w:cs="宋体" w:hint="eastAsia"/>
          <w:kern w:val="0"/>
          <w:sz w:val="32"/>
          <w:szCs w:val="32"/>
        </w:rPr>
        <w:t>张。有条件的，应配备符合老年人实际需求的室外活动场所，且宜选择在向阳、避风、安全的地方。</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站功能设置应根据老年人需求和各项服务功能的特点，进行合理布局，功能区设置应包括上述八大功能区的四项以上（其中包括休闲娱乐区、文化教育区、健康管理区等），托养护理区日间照料床位一般不超过</w:t>
      </w:r>
      <w:r w:rsidRPr="007114FC">
        <w:rPr>
          <w:rFonts w:ascii="宋体" w:eastAsia="宋体" w:hAnsi="宋体" w:cs="宋体"/>
          <w:kern w:val="0"/>
          <w:sz w:val="32"/>
          <w:szCs w:val="32"/>
        </w:rPr>
        <w:t>10</w:t>
      </w:r>
      <w:r w:rsidRPr="007114FC">
        <w:rPr>
          <w:rFonts w:ascii="方正仿宋_GBK" w:eastAsia="方正仿宋_GBK" w:hAnsi="宋体" w:cs="宋体" w:hint="eastAsia"/>
          <w:kern w:val="0"/>
          <w:sz w:val="32"/>
          <w:szCs w:val="32"/>
        </w:rPr>
        <w:t>张。</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黑体_GBK" w:eastAsia="方正黑体_GBK" w:hAnsi="宋体" w:cs="宋体" w:hint="eastAsia"/>
          <w:kern w:val="0"/>
          <w:sz w:val="32"/>
          <w:szCs w:val="32"/>
        </w:rPr>
        <w:t>三、建设内容</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楷体_GBK" w:eastAsia="方正楷体_GBK" w:hAnsi="宋体" w:cs="宋体" w:hint="eastAsia"/>
          <w:kern w:val="0"/>
          <w:sz w:val="32"/>
          <w:szCs w:val="32"/>
        </w:rPr>
        <w:t>（一）选址布局。</w:t>
      </w:r>
      <w:r w:rsidRPr="007114FC">
        <w:rPr>
          <w:rFonts w:ascii="方正仿宋_GBK" w:eastAsia="方正仿宋_GBK" w:hAnsi="宋体" w:cs="宋体" w:hint="eastAsia"/>
          <w:kern w:val="0"/>
          <w:sz w:val="32"/>
          <w:szCs w:val="32"/>
        </w:rPr>
        <w:t>社区养老服务中心（站）设置要综合考虑服务区域老年人口密度、年龄层次、健康状况、市场需求、收入水平、消费能力等因素，建设方统筹规划社区养老服务中心（站）的选址和布局。申报市级示范社区养老服务中心的由市级示范评审小组规划布局。</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宋体" w:eastAsia="宋体" w:hAnsi="宋体" w:cs="宋体"/>
          <w:kern w:val="0"/>
          <w:sz w:val="32"/>
          <w:szCs w:val="32"/>
        </w:rPr>
        <w:t>1.</w:t>
      </w:r>
      <w:r w:rsidRPr="007114FC">
        <w:rPr>
          <w:rFonts w:ascii="方正仿宋_GBK" w:eastAsia="方正仿宋_GBK" w:hAnsi="宋体" w:cs="宋体" w:hint="eastAsia"/>
          <w:kern w:val="0"/>
          <w:sz w:val="32"/>
          <w:szCs w:val="32"/>
        </w:rPr>
        <w:t>服务对象相对集中，交通便利，供电、给排水、通信等市政条件较好，临近社区便民服务中心、社区卫生服务中心以及医疗机构等公共服务设施；</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宋体" w:eastAsia="宋体" w:hAnsi="宋体" w:cs="宋体"/>
          <w:kern w:val="0"/>
          <w:sz w:val="32"/>
          <w:szCs w:val="32"/>
        </w:rPr>
        <w:t>2.</w:t>
      </w:r>
      <w:r w:rsidRPr="007114FC">
        <w:rPr>
          <w:rFonts w:ascii="方正仿宋_GBK" w:eastAsia="方正仿宋_GBK" w:hAnsi="宋体" w:cs="宋体" w:hint="eastAsia"/>
          <w:kern w:val="0"/>
          <w:sz w:val="32"/>
          <w:szCs w:val="32"/>
        </w:rPr>
        <w:t>工程地质条件稳定、日照充足、通风良好，远离污染源、噪声源及危险品生产、储运等区域；</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宋体" w:eastAsia="宋体" w:hAnsi="宋体" w:cs="宋体"/>
          <w:kern w:val="0"/>
          <w:sz w:val="32"/>
          <w:szCs w:val="32"/>
        </w:rPr>
        <w:lastRenderedPageBreak/>
        <w:t>3.</w:t>
      </w:r>
      <w:r w:rsidRPr="007114FC">
        <w:rPr>
          <w:rFonts w:ascii="方正仿宋_GBK" w:eastAsia="方正仿宋_GBK" w:hAnsi="宋体" w:cs="宋体" w:hint="eastAsia"/>
          <w:kern w:val="0"/>
          <w:sz w:val="32"/>
          <w:szCs w:val="32"/>
        </w:rPr>
        <w:t>社区养老服务中心（站）可与社区其他公共服务设施合并设置，社区养老服务中心的功能区相对独立完整；</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宋体" w:eastAsia="宋体" w:hAnsi="宋体" w:cs="宋体"/>
          <w:kern w:val="0"/>
          <w:sz w:val="32"/>
          <w:szCs w:val="32"/>
        </w:rPr>
        <w:t>4.</w:t>
      </w:r>
      <w:r w:rsidRPr="007114FC">
        <w:rPr>
          <w:rFonts w:ascii="方正仿宋_GBK" w:eastAsia="方正仿宋_GBK" w:hAnsi="宋体" w:cs="宋体" w:hint="eastAsia"/>
          <w:kern w:val="0"/>
          <w:sz w:val="32"/>
          <w:szCs w:val="32"/>
        </w:rPr>
        <w:t>社区养老服务中心（站）区域道路宜实行人车分流，保障行人安全，应满足消防通道、疏散安全等需要，保证救护车辆能直接到达所需停靠的建筑物出入口；</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宋体" w:eastAsia="宋体" w:hAnsi="宋体" w:cs="宋体"/>
          <w:kern w:val="0"/>
          <w:sz w:val="32"/>
          <w:szCs w:val="32"/>
        </w:rPr>
        <w:t>5.</w:t>
      </w:r>
      <w:r w:rsidRPr="007114FC">
        <w:rPr>
          <w:rFonts w:ascii="方正仿宋_GBK" w:eastAsia="方正仿宋_GBK" w:hAnsi="宋体" w:cs="宋体" w:hint="eastAsia"/>
          <w:kern w:val="0"/>
          <w:sz w:val="32"/>
          <w:szCs w:val="32"/>
        </w:rPr>
        <w:t>社区养老服务中心（站）原则上应选择建筑物平街楼层，相对独立，并有独立出入口。三层及以上楼层设有老年人长期照护或短期托养的服务设施应设置无障碍电梯或通道。</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楷体_GBK" w:eastAsia="方正楷体_GBK" w:hAnsi="宋体" w:cs="宋体" w:hint="eastAsia"/>
          <w:kern w:val="0"/>
          <w:sz w:val="32"/>
          <w:szCs w:val="32"/>
        </w:rPr>
        <w:t>（二）名称标识。</w:t>
      </w:r>
      <w:r w:rsidRPr="007114FC">
        <w:rPr>
          <w:rFonts w:ascii="方正仿宋_GBK" w:eastAsia="方正仿宋_GBK" w:hAnsi="宋体" w:cs="宋体" w:hint="eastAsia"/>
          <w:kern w:val="0"/>
          <w:sz w:val="32"/>
          <w:szCs w:val="32"/>
        </w:rPr>
        <w:t>凡经批准设立的社区养老服务中心（站）应统一使用“千百工程”形象标识，社区养老服务站名称的基本格式为“</w:t>
      </w:r>
      <w:r w:rsidRPr="007114FC">
        <w:rPr>
          <w:rFonts w:ascii="宋体" w:eastAsia="宋体" w:hAnsi="宋体" w:cs="宋体"/>
          <w:kern w:val="0"/>
          <w:sz w:val="32"/>
          <w:szCs w:val="32"/>
        </w:rPr>
        <w:t>XX</w:t>
      </w:r>
      <w:r w:rsidRPr="007114FC">
        <w:rPr>
          <w:rFonts w:ascii="方正仿宋_GBK" w:eastAsia="方正仿宋_GBK" w:hAnsi="宋体" w:cs="宋体" w:hint="eastAsia"/>
          <w:kern w:val="0"/>
          <w:sz w:val="32"/>
          <w:szCs w:val="32"/>
        </w:rPr>
        <w:t>镇（街道）</w:t>
      </w:r>
      <w:r w:rsidRPr="007114FC">
        <w:rPr>
          <w:rFonts w:ascii="宋体" w:eastAsia="宋体" w:hAnsi="宋体" w:cs="宋体"/>
          <w:kern w:val="0"/>
          <w:sz w:val="32"/>
          <w:szCs w:val="32"/>
        </w:rPr>
        <w:t>XX</w:t>
      </w:r>
      <w:r w:rsidRPr="007114FC">
        <w:rPr>
          <w:rFonts w:ascii="方正仿宋_GBK" w:eastAsia="方正仿宋_GBK" w:hAnsi="宋体" w:cs="宋体" w:hint="eastAsia"/>
          <w:kern w:val="0"/>
          <w:sz w:val="32"/>
          <w:szCs w:val="32"/>
        </w:rPr>
        <w:t>社区养老服务站”，社区养老服务中心名称的基本格式为“</w:t>
      </w:r>
      <w:r w:rsidRPr="007114FC">
        <w:rPr>
          <w:rFonts w:ascii="宋体" w:eastAsia="宋体" w:hAnsi="宋体" w:cs="宋体"/>
          <w:kern w:val="0"/>
          <w:sz w:val="32"/>
          <w:szCs w:val="32"/>
        </w:rPr>
        <w:t>XX</w:t>
      </w:r>
      <w:r w:rsidRPr="007114FC">
        <w:rPr>
          <w:rFonts w:ascii="方正仿宋_GBK" w:eastAsia="方正仿宋_GBK" w:hAnsi="宋体" w:cs="宋体" w:hint="eastAsia"/>
          <w:kern w:val="0"/>
          <w:sz w:val="32"/>
          <w:szCs w:val="32"/>
        </w:rPr>
        <w:t>镇（街道）</w:t>
      </w:r>
      <w:r w:rsidRPr="007114FC">
        <w:rPr>
          <w:rFonts w:ascii="宋体" w:eastAsia="宋体" w:hAnsi="宋体" w:cs="宋体"/>
          <w:kern w:val="0"/>
          <w:sz w:val="32"/>
          <w:szCs w:val="32"/>
        </w:rPr>
        <w:t>XX</w:t>
      </w:r>
      <w:r w:rsidRPr="007114FC">
        <w:rPr>
          <w:rFonts w:ascii="方正仿宋_GBK" w:eastAsia="方正仿宋_GBK" w:hAnsi="宋体" w:cs="宋体" w:hint="eastAsia"/>
          <w:kern w:val="0"/>
          <w:sz w:val="32"/>
          <w:szCs w:val="32"/>
        </w:rPr>
        <w:t>（运营企业名）社区养老服务中心”。申报市级示范社区养老服务中心名称的基本格式为“重庆市沙坪坝区</w:t>
      </w:r>
      <w:r w:rsidRPr="007114FC">
        <w:rPr>
          <w:rFonts w:ascii="宋体" w:eastAsia="宋体" w:hAnsi="宋体" w:cs="宋体"/>
          <w:kern w:val="0"/>
          <w:sz w:val="32"/>
          <w:szCs w:val="32"/>
        </w:rPr>
        <w:t>XX</w:t>
      </w:r>
      <w:r w:rsidRPr="007114FC">
        <w:rPr>
          <w:rFonts w:ascii="方正仿宋_GBK" w:eastAsia="方正仿宋_GBK" w:hAnsi="宋体" w:cs="宋体" w:hint="eastAsia"/>
          <w:kern w:val="0"/>
          <w:sz w:val="32"/>
          <w:szCs w:val="32"/>
        </w:rPr>
        <w:t>街道</w:t>
      </w:r>
      <w:r w:rsidRPr="007114FC">
        <w:rPr>
          <w:rFonts w:ascii="宋体" w:eastAsia="宋体" w:hAnsi="宋体" w:cs="宋体"/>
          <w:kern w:val="0"/>
          <w:sz w:val="32"/>
          <w:szCs w:val="32"/>
        </w:rPr>
        <w:t>XX</w:t>
      </w:r>
      <w:r w:rsidRPr="007114FC">
        <w:rPr>
          <w:rFonts w:ascii="方正仿宋_GBK" w:eastAsia="方正仿宋_GBK" w:hAnsi="宋体" w:cs="宋体" w:hint="eastAsia"/>
          <w:kern w:val="0"/>
          <w:sz w:val="32"/>
          <w:szCs w:val="32"/>
        </w:rPr>
        <w:t>社区养老服务中心”。</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楷体_GBK" w:eastAsia="方正楷体_GBK" w:hAnsi="宋体" w:cs="宋体" w:hint="eastAsia"/>
          <w:kern w:val="0"/>
          <w:sz w:val="32"/>
          <w:szCs w:val="32"/>
        </w:rPr>
        <w:t>（三）建设规模。</w:t>
      </w:r>
      <w:r w:rsidRPr="007114FC">
        <w:rPr>
          <w:rFonts w:ascii="方正仿宋_GBK" w:eastAsia="方正仿宋_GBK" w:hAnsi="宋体" w:cs="宋体" w:hint="eastAsia"/>
          <w:kern w:val="0"/>
          <w:sz w:val="32"/>
          <w:szCs w:val="32"/>
        </w:rPr>
        <w:t>社区养老服务中心建设规模分为</w:t>
      </w:r>
      <w:r w:rsidRPr="007114FC">
        <w:rPr>
          <w:rFonts w:ascii="宋体" w:eastAsia="宋体" w:hAnsi="宋体" w:cs="宋体"/>
          <w:kern w:val="0"/>
          <w:sz w:val="32"/>
          <w:szCs w:val="32"/>
        </w:rPr>
        <w:t>A</w:t>
      </w:r>
      <w:r w:rsidRPr="007114FC">
        <w:rPr>
          <w:rFonts w:ascii="方正仿宋_GBK" w:eastAsia="方正仿宋_GBK" w:hAnsi="宋体" w:cs="宋体" w:hint="eastAsia"/>
          <w:kern w:val="0"/>
          <w:sz w:val="32"/>
          <w:szCs w:val="32"/>
        </w:rPr>
        <w:t>、</w:t>
      </w:r>
      <w:r w:rsidRPr="007114FC">
        <w:rPr>
          <w:rFonts w:ascii="宋体" w:eastAsia="宋体" w:hAnsi="宋体" w:cs="宋体"/>
          <w:kern w:val="0"/>
          <w:sz w:val="32"/>
          <w:szCs w:val="32"/>
        </w:rPr>
        <w:t>B</w:t>
      </w:r>
      <w:r w:rsidRPr="007114FC">
        <w:rPr>
          <w:rFonts w:ascii="方正仿宋_GBK" w:eastAsia="方正仿宋_GBK" w:hAnsi="宋体" w:cs="宋体" w:hint="eastAsia"/>
          <w:kern w:val="0"/>
          <w:sz w:val="32"/>
          <w:szCs w:val="32"/>
        </w:rPr>
        <w:t>、</w:t>
      </w:r>
      <w:r w:rsidRPr="007114FC">
        <w:rPr>
          <w:rFonts w:ascii="宋体" w:eastAsia="宋体" w:hAnsi="宋体" w:cs="宋体"/>
          <w:kern w:val="0"/>
          <w:sz w:val="32"/>
          <w:szCs w:val="32"/>
        </w:rPr>
        <w:t>C</w:t>
      </w:r>
      <w:r w:rsidRPr="007114FC">
        <w:rPr>
          <w:rFonts w:ascii="方正仿宋_GBK" w:eastAsia="方正仿宋_GBK" w:hAnsi="宋体" w:cs="宋体" w:hint="eastAsia"/>
          <w:kern w:val="0"/>
          <w:sz w:val="32"/>
          <w:szCs w:val="32"/>
        </w:rPr>
        <w:t>三个标准，</w:t>
      </w:r>
      <w:r w:rsidRPr="007114FC">
        <w:rPr>
          <w:rFonts w:ascii="宋体" w:eastAsia="宋体" w:hAnsi="宋体" w:cs="宋体"/>
          <w:kern w:val="0"/>
          <w:sz w:val="32"/>
          <w:szCs w:val="32"/>
        </w:rPr>
        <w:t>A</w:t>
      </w:r>
      <w:r w:rsidRPr="007114FC">
        <w:rPr>
          <w:rFonts w:ascii="方正仿宋_GBK" w:eastAsia="方正仿宋_GBK" w:hAnsi="宋体" w:cs="宋体" w:hint="eastAsia"/>
          <w:kern w:val="0"/>
          <w:sz w:val="32"/>
          <w:szCs w:val="32"/>
        </w:rPr>
        <w:t>类规模的建设面积应在</w:t>
      </w:r>
      <w:r w:rsidRPr="007114FC">
        <w:rPr>
          <w:rFonts w:ascii="宋体" w:eastAsia="宋体" w:hAnsi="宋体" w:cs="宋体"/>
          <w:kern w:val="0"/>
          <w:sz w:val="32"/>
          <w:szCs w:val="32"/>
        </w:rPr>
        <w:t>1800</w:t>
      </w:r>
      <w:r w:rsidRPr="007114FC">
        <w:rPr>
          <w:rFonts w:ascii="方正仿宋_GBK" w:eastAsia="方正仿宋_GBK" w:hAnsi="宋体" w:cs="宋体" w:hint="eastAsia"/>
          <w:kern w:val="0"/>
          <w:sz w:val="32"/>
          <w:szCs w:val="32"/>
        </w:rPr>
        <w:t>㎡以上，</w:t>
      </w:r>
      <w:r w:rsidRPr="007114FC">
        <w:rPr>
          <w:rFonts w:ascii="宋体" w:eastAsia="宋体" w:hAnsi="宋体" w:cs="宋体"/>
          <w:kern w:val="0"/>
          <w:sz w:val="32"/>
          <w:szCs w:val="32"/>
        </w:rPr>
        <w:t>B</w:t>
      </w:r>
      <w:r w:rsidRPr="007114FC">
        <w:rPr>
          <w:rFonts w:ascii="方正仿宋_GBK" w:eastAsia="方正仿宋_GBK" w:hAnsi="宋体" w:cs="宋体" w:hint="eastAsia"/>
          <w:kern w:val="0"/>
          <w:sz w:val="32"/>
          <w:szCs w:val="32"/>
        </w:rPr>
        <w:t>类规模的建设面积应不低于</w:t>
      </w:r>
      <w:r w:rsidRPr="007114FC">
        <w:rPr>
          <w:rFonts w:ascii="宋体" w:eastAsia="宋体" w:hAnsi="宋体" w:cs="宋体"/>
          <w:kern w:val="0"/>
          <w:sz w:val="32"/>
          <w:szCs w:val="32"/>
        </w:rPr>
        <w:t>1200</w:t>
      </w:r>
      <w:r w:rsidRPr="007114FC">
        <w:rPr>
          <w:rFonts w:ascii="方正仿宋_GBK" w:eastAsia="方正仿宋_GBK" w:hAnsi="宋体" w:cs="宋体" w:hint="eastAsia"/>
          <w:kern w:val="0"/>
          <w:sz w:val="32"/>
          <w:szCs w:val="32"/>
        </w:rPr>
        <w:t>㎡，</w:t>
      </w:r>
      <w:r w:rsidRPr="007114FC">
        <w:rPr>
          <w:rFonts w:ascii="宋体" w:eastAsia="宋体" w:hAnsi="宋体" w:cs="宋体"/>
          <w:kern w:val="0"/>
          <w:sz w:val="32"/>
          <w:szCs w:val="32"/>
        </w:rPr>
        <w:t>C</w:t>
      </w:r>
      <w:r w:rsidRPr="007114FC">
        <w:rPr>
          <w:rFonts w:ascii="方正仿宋_GBK" w:eastAsia="方正仿宋_GBK" w:hAnsi="宋体" w:cs="宋体" w:hint="eastAsia"/>
          <w:kern w:val="0"/>
          <w:sz w:val="32"/>
          <w:szCs w:val="32"/>
        </w:rPr>
        <w:t>类规模的建设面积原则上</w:t>
      </w:r>
      <w:r w:rsidRPr="007114FC">
        <w:rPr>
          <w:rFonts w:ascii="方正仿宋_GBK" w:eastAsia="方正仿宋_GBK" w:hAnsi="宋体" w:cs="宋体" w:hint="eastAsia"/>
          <w:kern w:val="0"/>
          <w:sz w:val="32"/>
          <w:szCs w:val="32"/>
        </w:rPr>
        <w:lastRenderedPageBreak/>
        <w:t>应不低于</w:t>
      </w:r>
      <w:r w:rsidRPr="007114FC">
        <w:rPr>
          <w:rFonts w:ascii="宋体" w:eastAsia="宋体" w:hAnsi="宋体" w:cs="宋体"/>
          <w:kern w:val="0"/>
          <w:sz w:val="32"/>
          <w:szCs w:val="32"/>
        </w:rPr>
        <w:t>750</w:t>
      </w:r>
      <w:r w:rsidRPr="007114FC">
        <w:rPr>
          <w:rFonts w:ascii="方正仿宋_GBK" w:eastAsia="方正仿宋_GBK" w:hAnsi="宋体" w:cs="宋体" w:hint="eastAsia"/>
          <w:kern w:val="0"/>
          <w:sz w:val="32"/>
          <w:szCs w:val="32"/>
        </w:rPr>
        <w:t>㎡。社区养老服务站的建设面积原则上应不低于</w:t>
      </w:r>
      <w:r w:rsidRPr="007114FC">
        <w:rPr>
          <w:rFonts w:ascii="宋体" w:eastAsia="宋体" w:hAnsi="宋体" w:cs="宋体"/>
          <w:kern w:val="0"/>
          <w:sz w:val="32"/>
          <w:szCs w:val="32"/>
        </w:rPr>
        <w:t>200</w:t>
      </w:r>
      <w:r w:rsidRPr="007114FC">
        <w:rPr>
          <w:rFonts w:ascii="方正仿宋_GBK" w:eastAsia="方正仿宋_GBK" w:hAnsi="宋体" w:cs="宋体" w:hint="eastAsia"/>
          <w:kern w:val="0"/>
          <w:sz w:val="32"/>
          <w:szCs w:val="32"/>
        </w:rPr>
        <w:t>㎡。</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楷体_GBK" w:eastAsia="方正楷体_GBK" w:hAnsi="宋体" w:cs="宋体" w:hint="eastAsia"/>
          <w:kern w:val="0"/>
          <w:sz w:val="32"/>
          <w:szCs w:val="32"/>
        </w:rPr>
        <w:t>（四）场地要求。</w:t>
      </w:r>
      <w:r w:rsidRPr="007114FC">
        <w:rPr>
          <w:rFonts w:ascii="方正仿宋_GBK" w:eastAsia="方正仿宋_GBK" w:hAnsi="宋体" w:cs="宋体" w:hint="eastAsia"/>
          <w:kern w:val="0"/>
          <w:sz w:val="32"/>
          <w:szCs w:val="32"/>
        </w:rPr>
        <w:t>通过建设、购买、租赁等方式打造社区养老服务中心，应无偿或低偿交由企业和社会组织运营。对原有社区养老服务设施，符合条件的，可整体改造成社区养老服务中心。统筹集约利用企事业闲置资源、现有的社区服务设施、社区卫生服务设施、残疾人服务设施等公共服务设施，实行资源共享，双向开放，合作共建。可将符合条件的社会机构自建、租赁的场所设立为社区养老服务中心。镇街可依托社区办公用房、社区卫生服务中心和村卫生室等公共资源建设社区养老服务中心（站）实现资源共享。支持社区养老服务中心（站）设置护理站、医务室、卫生所（室）等医疗护理机构，符合条件的纳入</w:t>
      </w:r>
      <w:proofErr w:type="gramStart"/>
      <w:r w:rsidRPr="007114FC">
        <w:rPr>
          <w:rFonts w:ascii="方正仿宋_GBK" w:eastAsia="方正仿宋_GBK" w:hAnsi="宋体" w:cs="宋体" w:hint="eastAsia"/>
          <w:kern w:val="0"/>
          <w:sz w:val="32"/>
          <w:szCs w:val="32"/>
        </w:rPr>
        <w:t>医</w:t>
      </w:r>
      <w:proofErr w:type="gramEnd"/>
      <w:r w:rsidRPr="007114FC">
        <w:rPr>
          <w:rFonts w:ascii="方正仿宋_GBK" w:eastAsia="方正仿宋_GBK" w:hAnsi="宋体" w:cs="宋体" w:hint="eastAsia"/>
          <w:kern w:val="0"/>
          <w:sz w:val="32"/>
          <w:szCs w:val="32"/>
        </w:rPr>
        <w:t>保定点。</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政府建设的社区养老服务中心（站）由镇街申报、实施建设，社会力量兴建的社区养老服务中心（站）由镇街初审，并对建设项目实施跟踪督导；区民政局统筹规划、指导并审核和组织验收，报市民政局备案；申报市级示范社区养老服务中心的由区民政局申报和组织实施，监理公司出具工程建设质量监理报告，并经第三方评估验收后，报市民政局备案。</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黑体_GBK" w:eastAsia="方正黑体_GBK" w:hAnsi="宋体" w:cs="宋体" w:hint="eastAsia"/>
          <w:kern w:val="0"/>
          <w:sz w:val="32"/>
          <w:szCs w:val="32"/>
        </w:rPr>
        <w:t>四、建设标准</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lastRenderedPageBreak/>
        <w:t>社区养老服务中心（站）建设应执行国家相关标准，达到《重庆市民政局</w:t>
      </w:r>
      <w:r w:rsidRPr="007114FC">
        <w:rPr>
          <w:rFonts w:ascii="宋体" w:eastAsia="宋体" w:hAnsi="宋体" w:cs="宋体"/>
          <w:kern w:val="0"/>
          <w:sz w:val="32"/>
          <w:szCs w:val="32"/>
        </w:rPr>
        <w:t>&lt;</w:t>
      </w:r>
      <w:r w:rsidRPr="007114FC">
        <w:rPr>
          <w:rFonts w:ascii="方正仿宋_GBK" w:eastAsia="方正仿宋_GBK" w:hAnsi="宋体" w:cs="宋体" w:hint="eastAsia"/>
          <w:kern w:val="0"/>
          <w:sz w:val="32"/>
          <w:szCs w:val="32"/>
        </w:rPr>
        <w:t>关于印发重庆市社区养老服务“千百工程”建设规范</w:t>
      </w:r>
      <w:r w:rsidRPr="007114FC">
        <w:rPr>
          <w:rFonts w:ascii="宋体" w:eastAsia="宋体" w:hAnsi="宋体" w:cs="宋体"/>
          <w:kern w:val="0"/>
          <w:sz w:val="32"/>
          <w:szCs w:val="32"/>
        </w:rPr>
        <w:t>&gt;</w:t>
      </w:r>
      <w:r w:rsidRPr="007114FC">
        <w:rPr>
          <w:rFonts w:ascii="方正仿宋_GBK" w:eastAsia="方正仿宋_GBK" w:hAnsi="宋体" w:cs="宋体" w:hint="eastAsia"/>
          <w:kern w:val="0"/>
          <w:sz w:val="32"/>
          <w:szCs w:val="32"/>
        </w:rPr>
        <w:t>等“千百工程”配套文件的通知》（</w:t>
      </w:r>
      <w:proofErr w:type="gramStart"/>
      <w:r w:rsidRPr="007114FC">
        <w:rPr>
          <w:rFonts w:ascii="方正仿宋_GBK" w:eastAsia="方正仿宋_GBK" w:hAnsi="宋体" w:cs="宋体" w:hint="eastAsia"/>
          <w:kern w:val="0"/>
          <w:sz w:val="32"/>
          <w:szCs w:val="32"/>
        </w:rPr>
        <w:t>渝民发</w:t>
      </w:r>
      <w:proofErr w:type="gramEnd"/>
      <w:r w:rsidRPr="007114FC">
        <w:rPr>
          <w:rFonts w:ascii="方正仿宋_GBK" w:eastAsia="方正仿宋_GBK" w:hAnsi="宋体" w:cs="宋体" w:hint="eastAsia"/>
          <w:kern w:val="0"/>
          <w:sz w:val="32"/>
          <w:szCs w:val="32"/>
        </w:rPr>
        <w:t>〔</w:t>
      </w:r>
      <w:r w:rsidRPr="007114FC">
        <w:rPr>
          <w:rFonts w:ascii="宋体" w:eastAsia="宋体" w:hAnsi="宋体" w:cs="宋体"/>
          <w:kern w:val="0"/>
          <w:sz w:val="32"/>
          <w:szCs w:val="32"/>
        </w:rPr>
        <w:t>2018</w:t>
      </w:r>
      <w:r w:rsidRPr="007114FC">
        <w:rPr>
          <w:rFonts w:ascii="方正仿宋_GBK" w:eastAsia="方正仿宋_GBK" w:hAnsi="宋体" w:cs="宋体" w:hint="eastAsia"/>
          <w:kern w:val="0"/>
          <w:sz w:val="32"/>
          <w:szCs w:val="32"/>
        </w:rPr>
        <w:t>〕</w:t>
      </w:r>
      <w:r w:rsidRPr="007114FC">
        <w:rPr>
          <w:rFonts w:ascii="宋体" w:eastAsia="宋体" w:hAnsi="宋体" w:cs="宋体"/>
          <w:kern w:val="0"/>
          <w:sz w:val="32"/>
          <w:szCs w:val="32"/>
        </w:rPr>
        <w:t>13</w:t>
      </w:r>
      <w:r w:rsidRPr="007114FC">
        <w:rPr>
          <w:rFonts w:ascii="方正仿宋_GBK" w:eastAsia="方正仿宋_GBK" w:hAnsi="宋体" w:cs="宋体" w:hint="eastAsia"/>
          <w:kern w:val="0"/>
          <w:sz w:val="32"/>
          <w:szCs w:val="32"/>
        </w:rPr>
        <w:t>号）明确的各项要求。</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站）服务设施的建筑材料及装修、装饰材料应符合安全卫生、环境保护等现行国家标准和有关的行业标准，消防设施的配置应符合建筑设计防火规范的有关规定，耐火等级不应低于二级；建筑抗震设防标准应</w:t>
      </w:r>
      <w:proofErr w:type="gramStart"/>
      <w:r w:rsidRPr="007114FC">
        <w:rPr>
          <w:rFonts w:ascii="方正仿宋_GBK" w:eastAsia="方正仿宋_GBK" w:hAnsi="宋体" w:cs="宋体" w:hint="eastAsia"/>
          <w:kern w:val="0"/>
          <w:sz w:val="32"/>
          <w:szCs w:val="32"/>
        </w:rPr>
        <w:t>按重点</w:t>
      </w:r>
      <w:proofErr w:type="gramEnd"/>
      <w:r w:rsidRPr="007114FC">
        <w:rPr>
          <w:rFonts w:ascii="方正仿宋_GBK" w:eastAsia="方正仿宋_GBK" w:hAnsi="宋体" w:cs="宋体" w:hint="eastAsia"/>
          <w:kern w:val="0"/>
          <w:sz w:val="32"/>
          <w:szCs w:val="32"/>
        </w:rPr>
        <w:t>设防类进行设计；供电设施应符合设备和照明用电负荷的要求；给排水设施应符合国家卫生标准，其生活用房应具有热水供应系统。</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站）服务设施应配置空调、电视等基础设备；根据老年人群体特征和服务对象需求，配备舒适、牢固、安全、色彩温馨的适老化设施设备；依据设置医疗服务的要求，配备适宜老年人康复理疗的医疗器材及其他助</w:t>
      </w:r>
      <w:proofErr w:type="gramStart"/>
      <w:r w:rsidRPr="007114FC">
        <w:rPr>
          <w:rFonts w:ascii="方正仿宋_GBK" w:eastAsia="方正仿宋_GBK" w:hAnsi="宋体" w:cs="宋体" w:hint="eastAsia"/>
          <w:kern w:val="0"/>
          <w:sz w:val="32"/>
          <w:szCs w:val="32"/>
        </w:rPr>
        <w:t>医</w:t>
      </w:r>
      <w:proofErr w:type="gramEnd"/>
      <w:r w:rsidRPr="007114FC">
        <w:rPr>
          <w:rFonts w:ascii="方正仿宋_GBK" w:eastAsia="方正仿宋_GBK" w:hAnsi="宋体" w:cs="宋体" w:hint="eastAsia"/>
          <w:kern w:val="0"/>
          <w:sz w:val="32"/>
          <w:szCs w:val="32"/>
        </w:rPr>
        <w:t>器材。依据各功能区功能设置，配置文化娱乐、健康管理、托养服务、通信安全、视频监控等设施设备。社区养老服务中心应在相应活动场所及护理区、卫生间等处安装应急呼叫系统。</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黑体_GBK" w:eastAsia="方正黑体_GBK" w:hAnsi="宋体" w:cs="宋体" w:hint="eastAsia"/>
          <w:kern w:val="0"/>
          <w:sz w:val="32"/>
          <w:szCs w:val="32"/>
        </w:rPr>
        <w:t>五、服务运营</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lastRenderedPageBreak/>
        <w:t>社区养老服务中心（站）服务标准参照《重庆市社区养老服务规范》（</w:t>
      </w:r>
      <w:r w:rsidRPr="007114FC">
        <w:rPr>
          <w:rFonts w:ascii="宋体" w:eastAsia="宋体" w:hAnsi="宋体" w:cs="宋体"/>
          <w:kern w:val="0"/>
          <w:sz w:val="32"/>
          <w:szCs w:val="32"/>
        </w:rPr>
        <w:t>DB50/T76-2017</w:t>
      </w:r>
      <w:r w:rsidRPr="007114FC">
        <w:rPr>
          <w:rFonts w:ascii="方正仿宋_GBK" w:eastAsia="方正仿宋_GBK" w:hAnsi="宋体" w:cs="宋体" w:hint="eastAsia"/>
          <w:kern w:val="0"/>
          <w:sz w:val="32"/>
          <w:szCs w:val="32"/>
        </w:rPr>
        <w:t>）执行，并执行国家《社区老年人日间照料中心服务基本要求》（</w:t>
      </w:r>
      <w:r w:rsidRPr="007114FC">
        <w:rPr>
          <w:rFonts w:ascii="宋体" w:eastAsia="宋体" w:hAnsi="宋体" w:cs="宋体"/>
          <w:kern w:val="0"/>
          <w:sz w:val="32"/>
          <w:szCs w:val="32"/>
        </w:rPr>
        <w:t>GB/T 33168 2016</w:t>
      </w:r>
      <w:r w:rsidRPr="007114FC">
        <w:rPr>
          <w:rFonts w:ascii="方正仿宋_GBK" w:eastAsia="方正仿宋_GBK" w:hAnsi="宋体" w:cs="宋体" w:hint="eastAsia"/>
          <w:kern w:val="0"/>
          <w:sz w:val="32"/>
          <w:szCs w:val="32"/>
        </w:rPr>
        <w:t>）服务标准。</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社区养老服务中心（站）采取公建民营、民建公助的方式运营，鼓励和支持经验丰富、实力雄厚的养老机构或企业开展连锁运营、联盟运营和</w:t>
      </w:r>
      <w:r w:rsidRPr="007114FC">
        <w:rPr>
          <w:rFonts w:ascii="宋体" w:eastAsia="宋体" w:hAnsi="宋体" w:cs="宋体"/>
          <w:kern w:val="0"/>
          <w:sz w:val="32"/>
          <w:szCs w:val="32"/>
        </w:rPr>
        <w:t>PPP</w:t>
      </w:r>
      <w:r w:rsidRPr="007114FC">
        <w:rPr>
          <w:rFonts w:ascii="方正仿宋_GBK" w:eastAsia="方正仿宋_GBK" w:hAnsi="宋体" w:cs="宋体" w:hint="eastAsia"/>
          <w:kern w:val="0"/>
          <w:sz w:val="32"/>
          <w:szCs w:val="32"/>
        </w:rPr>
        <w:t>运营。鼓励社区养老服务站与社区养老服务中心建立营运联盟，逐步实现以中心为核心的</w:t>
      </w:r>
      <w:proofErr w:type="gramStart"/>
      <w:r w:rsidRPr="007114FC">
        <w:rPr>
          <w:rFonts w:ascii="方正仿宋_GBK" w:eastAsia="方正仿宋_GBK" w:hAnsi="宋体" w:cs="宋体" w:hint="eastAsia"/>
          <w:kern w:val="0"/>
          <w:sz w:val="32"/>
          <w:szCs w:val="32"/>
        </w:rPr>
        <w:t>区域链块营运</w:t>
      </w:r>
      <w:proofErr w:type="gramEnd"/>
      <w:r w:rsidRPr="007114FC">
        <w:rPr>
          <w:rFonts w:ascii="方正仿宋_GBK" w:eastAsia="方正仿宋_GBK" w:hAnsi="宋体" w:cs="宋体" w:hint="eastAsia"/>
          <w:kern w:val="0"/>
          <w:sz w:val="32"/>
          <w:szCs w:val="32"/>
        </w:rPr>
        <w:t>管理模式，推动社区养老服务中心承接社区养老服务站管理、营运和业务指导。</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站）应根据服务功能区设置和辖区老年人需求推出养老服务项目清单。社区养老服务站重点提供基本公共养老服务项目，至少包括为辖区内老年人建立健康档案、信息数据采集、信息资讯、评估评价、居家老人日常照护、紧急救助等服务项目以及为高龄、空巢（独居、留守）、有风险老人进行定期探访。社区养老服务中心提供综合性养老服务项目，包括为辖区内老年人提供居家服务、康复护理、医疗保健、精神慰藉、文化娱乐、紧急救助等养老服务项目以及为高龄、空巢（独居、留守）、有风险老人进行定期探访，满足老年人多样化、多层次养老服务需求。</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lastRenderedPageBreak/>
        <w:t>社区养老服务分为政府购买服务和自费购买服务两种类型，社区养老服务中心（站）应主动、详实地向老年人介绍服务项目、服务内容及收费标准等，并在显著位置予以公示。属于免费的公共服务项目的，也应一同公示。</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对居住且户籍在本辖区的分散供养的特困老年人、重点优抚对象老年人、</w:t>
      </w:r>
      <w:proofErr w:type="gramStart"/>
      <w:r w:rsidRPr="007114FC">
        <w:rPr>
          <w:rFonts w:ascii="方正仿宋_GBK" w:eastAsia="方正仿宋_GBK" w:hAnsi="宋体" w:cs="宋体" w:hint="eastAsia"/>
          <w:kern w:val="0"/>
          <w:sz w:val="32"/>
          <w:szCs w:val="32"/>
        </w:rPr>
        <w:t>享受低保待遇</w:t>
      </w:r>
      <w:proofErr w:type="gramEnd"/>
      <w:r w:rsidRPr="007114FC">
        <w:rPr>
          <w:rFonts w:ascii="方正仿宋_GBK" w:eastAsia="方正仿宋_GBK" w:hAnsi="宋体" w:cs="宋体" w:hint="eastAsia"/>
          <w:kern w:val="0"/>
          <w:sz w:val="32"/>
          <w:szCs w:val="32"/>
        </w:rPr>
        <w:t>的老年人、计生困难家庭老年人、经济困难的“空巢”老年人和</w:t>
      </w:r>
      <w:r w:rsidRPr="007114FC">
        <w:rPr>
          <w:rFonts w:ascii="宋体" w:eastAsia="宋体" w:hAnsi="宋体" w:cs="宋体"/>
          <w:kern w:val="0"/>
          <w:sz w:val="32"/>
          <w:szCs w:val="32"/>
        </w:rPr>
        <w:t>100</w:t>
      </w:r>
      <w:r w:rsidRPr="007114FC">
        <w:rPr>
          <w:rFonts w:ascii="方正仿宋_GBK" w:eastAsia="方正仿宋_GBK" w:hAnsi="宋体" w:cs="宋体" w:hint="eastAsia"/>
          <w:kern w:val="0"/>
          <w:sz w:val="32"/>
          <w:szCs w:val="32"/>
        </w:rPr>
        <w:t>岁以上（含</w:t>
      </w:r>
      <w:r w:rsidRPr="007114FC">
        <w:rPr>
          <w:rFonts w:ascii="宋体" w:eastAsia="宋体" w:hAnsi="宋体" w:cs="宋体"/>
          <w:kern w:val="0"/>
          <w:sz w:val="32"/>
          <w:szCs w:val="32"/>
        </w:rPr>
        <w:t>100</w:t>
      </w:r>
      <w:r w:rsidRPr="007114FC">
        <w:rPr>
          <w:rFonts w:ascii="方正仿宋_GBK" w:eastAsia="方正仿宋_GBK" w:hAnsi="宋体" w:cs="宋体" w:hint="eastAsia"/>
          <w:kern w:val="0"/>
          <w:sz w:val="32"/>
          <w:szCs w:val="32"/>
        </w:rPr>
        <w:t>岁）的高龄老年人等困难群众，分类提供相应的政府购买服务，按照就高标准，不重复享受。</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站）在做好政府购买服务的基础上，应积极参与辖区老年人的购买服务，其购买服务费用由享受对象个人承担。社区养老服务中心（站）应与服务对象签订服务合同，明确服务内容、时间、权利、义务及价格等。社区养老服务中心（站）服务人员必须按服务项目和标准提供服务，并得到服务对象认可。</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鼓励社工组织、自愿服务者等各类社会力量依托社区养老服务中心（站），对照居家和社区基本养老服务项目清单，按照无偿、低偿、有偿相结合的方式为老年人提供服务，切实推进为老服务项目可持续发展。对需要提供医疗护理服务的老年人，由社区卫生服务中心依托社区养老服务中心（站）</w:t>
      </w:r>
      <w:r w:rsidRPr="007114FC">
        <w:rPr>
          <w:rFonts w:ascii="方正仿宋_GBK" w:eastAsia="方正仿宋_GBK" w:hAnsi="宋体" w:cs="宋体" w:hint="eastAsia"/>
          <w:kern w:val="0"/>
          <w:sz w:val="32"/>
          <w:szCs w:val="32"/>
        </w:rPr>
        <w:lastRenderedPageBreak/>
        <w:t>开展相关服务，安排医护人员定时上门巡查，为服务对象建立健康档案。</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社区养老服务中心（站）应按功能设置，配备相应数量的管理服务人员。原则上社区养老服务中心不少于</w:t>
      </w:r>
      <w:r w:rsidRPr="007114FC">
        <w:rPr>
          <w:rFonts w:ascii="宋体" w:eastAsia="宋体" w:hAnsi="宋体" w:cs="宋体"/>
          <w:kern w:val="0"/>
          <w:sz w:val="32"/>
          <w:szCs w:val="32"/>
        </w:rPr>
        <w:t>5</w:t>
      </w:r>
      <w:r w:rsidRPr="007114FC">
        <w:rPr>
          <w:rFonts w:ascii="方正仿宋_GBK" w:eastAsia="方正仿宋_GBK" w:hAnsi="宋体" w:cs="宋体" w:hint="eastAsia"/>
          <w:kern w:val="0"/>
          <w:sz w:val="32"/>
          <w:szCs w:val="32"/>
        </w:rPr>
        <w:t>人，社区养老服务站不少于</w:t>
      </w:r>
      <w:r w:rsidRPr="007114FC">
        <w:rPr>
          <w:rFonts w:ascii="宋体" w:eastAsia="宋体" w:hAnsi="宋体" w:cs="宋体"/>
          <w:kern w:val="0"/>
          <w:sz w:val="32"/>
          <w:szCs w:val="32"/>
        </w:rPr>
        <w:t>2</w:t>
      </w:r>
      <w:r w:rsidRPr="007114FC">
        <w:rPr>
          <w:rFonts w:ascii="方正仿宋_GBK" w:eastAsia="方正仿宋_GBK" w:hAnsi="宋体" w:cs="宋体" w:hint="eastAsia"/>
          <w:kern w:val="0"/>
          <w:sz w:val="32"/>
          <w:szCs w:val="32"/>
        </w:rPr>
        <w:t>人。管理服务人员应身体健康、着装整洁、语言文明、态度热情，细致周到；应具备相关专业知识和技能，应做到操作熟练、服务规范；应遵守相关规章制度，具备敬老、爱老品质，恪守职业道德，保护老年人隐私。</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站）应制定社区养老服务的规章制度和工作流程。真实、准确、完整公示包括执业证照、服务项目、收费标准、规章制度、工作流程、服务承诺和投诉方式等信息。建立档案保管、使用及保密制度，妥善保存包括项目的立项建设情况、基础信息、运营管理制度、财务管理等机构档案以及老年人信息、服务协议、服务项目、服务记录等服务档案，并实施动态管理。社区养老服务中心（站）负责人须与所在镇街、社区、管理服务人员、服务对象签订安全责任书，强化安全工作监管责任和主体责任。建立健全值班巡查、节假日值班和重大事项报告制度。制定安全应急预案和意外突发事件处置应急预案，开展安全教育和日常隐患排查。</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黑体_GBK" w:eastAsia="方正黑体_GBK" w:hAnsi="宋体" w:cs="宋体" w:hint="eastAsia"/>
          <w:kern w:val="0"/>
          <w:sz w:val="32"/>
          <w:szCs w:val="32"/>
        </w:rPr>
        <w:lastRenderedPageBreak/>
        <w:t>六、运营效能评估</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由区民政局和镇街成立社区养老服务中心（站）运营效能考核组，组织对社区养老服务中心（站）运营效能进行年度评估。评估指标包括服务对象满意度、家属（监护人）满意度、服务时间准确率、服务项目完成率、服务质量合格率和有效投诉结案率等内容；评估方法包括意见征询（上门、电话、信件、网络）、实地查看和考核等方式；评估等级分为“不合格”、“合格”两级。对运行管理不善、群众满意率不高的社区养老服务中心（站），将给予通报批评，责令限期整改。社区养老服务中心（站）应根据评估过程中发现的问题与建议，及时整改，不断提高服务质量，连续</w:t>
      </w:r>
      <w:r w:rsidRPr="007114FC">
        <w:rPr>
          <w:rFonts w:ascii="宋体" w:eastAsia="宋体" w:hAnsi="宋体" w:cs="宋体"/>
          <w:kern w:val="0"/>
          <w:sz w:val="32"/>
          <w:szCs w:val="32"/>
        </w:rPr>
        <w:t>2</w:t>
      </w:r>
      <w:r w:rsidRPr="007114FC">
        <w:rPr>
          <w:rFonts w:ascii="方正仿宋_GBK" w:eastAsia="方正仿宋_GBK" w:hAnsi="宋体" w:cs="宋体" w:hint="eastAsia"/>
          <w:kern w:val="0"/>
          <w:sz w:val="32"/>
          <w:szCs w:val="32"/>
        </w:rPr>
        <w:t>次被评估等级为“不合格”的社区养老服务中心（站），将责令退出服务运营。运营效能评估将作为社区养老服务中心（站）运营补贴的重要依据。社区养老服务中心（站）的运营效能考核方案另行制定。</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黑体_GBK" w:eastAsia="方正黑体_GBK" w:hAnsi="宋体" w:cs="宋体" w:hint="eastAsia"/>
          <w:kern w:val="0"/>
          <w:sz w:val="32"/>
          <w:szCs w:val="32"/>
        </w:rPr>
        <w:t>七、补助标准</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社区养老服务中心（站）补助资金来源为上级专项资金、</w:t>
      </w:r>
      <w:proofErr w:type="gramStart"/>
      <w:r w:rsidRPr="007114FC">
        <w:rPr>
          <w:rFonts w:ascii="方正仿宋_GBK" w:eastAsia="方正仿宋_GBK" w:hAnsi="宋体" w:cs="宋体" w:hint="eastAsia"/>
          <w:kern w:val="0"/>
          <w:sz w:val="32"/>
          <w:szCs w:val="32"/>
        </w:rPr>
        <w:t>区级福彩公益金</w:t>
      </w:r>
      <w:proofErr w:type="gramEnd"/>
      <w:r w:rsidRPr="007114FC">
        <w:rPr>
          <w:rFonts w:ascii="方正仿宋_GBK" w:eastAsia="方正仿宋_GBK" w:hAnsi="宋体" w:cs="宋体" w:hint="eastAsia"/>
          <w:kern w:val="0"/>
          <w:sz w:val="32"/>
          <w:szCs w:val="32"/>
        </w:rPr>
        <w:t>。</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楷体_GBK" w:eastAsia="方正楷体_GBK" w:hAnsi="宋体" w:cs="宋体" w:hint="eastAsia"/>
          <w:kern w:val="0"/>
          <w:sz w:val="32"/>
          <w:szCs w:val="32"/>
        </w:rPr>
        <w:t>（一）建设补助标准</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lastRenderedPageBreak/>
        <w:t>社区养老服务中心建设补助按照建设规模大小实施一次性补助，</w:t>
      </w:r>
      <w:r w:rsidRPr="007114FC">
        <w:rPr>
          <w:rFonts w:ascii="宋体" w:eastAsia="宋体" w:hAnsi="宋体" w:cs="宋体"/>
          <w:kern w:val="0"/>
          <w:sz w:val="32"/>
          <w:szCs w:val="32"/>
        </w:rPr>
        <w:t>A</w:t>
      </w:r>
      <w:r w:rsidRPr="007114FC">
        <w:rPr>
          <w:rFonts w:ascii="方正仿宋_GBK" w:eastAsia="方正仿宋_GBK" w:hAnsi="宋体" w:cs="宋体" w:hint="eastAsia"/>
          <w:kern w:val="0"/>
          <w:sz w:val="32"/>
          <w:szCs w:val="32"/>
        </w:rPr>
        <w:t>类规模的每个社区养老服务中心建设补助不超过同等规模市级补贴资金的</w:t>
      </w:r>
      <w:r w:rsidRPr="007114FC">
        <w:rPr>
          <w:rFonts w:ascii="宋体" w:eastAsia="宋体" w:hAnsi="宋体" w:cs="宋体"/>
          <w:kern w:val="0"/>
          <w:sz w:val="32"/>
          <w:szCs w:val="32"/>
        </w:rPr>
        <w:t>50%</w:t>
      </w:r>
      <w:r w:rsidRPr="007114FC">
        <w:rPr>
          <w:rFonts w:ascii="方正仿宋_GBK" w:eastAsia="方正仿宋_GBK" w:hAnsi="宋体" w:cs="宋体" w:hint="eastAsia"/>
          <w:kern w:val="0"/>
          <w:sz w:val="32"/>
          <w:szCs w:val="32"/>
        </w:rPr>
        <w:t>，</w:t>
      </w:r>
      <w:r w:rsidRPr="007114FC">
        <w:rPr>
          <w:rFonts w:ascii="宋体" w:eastAsia="宋体" w:hAnsi="宋体" w:cs="宋体"/>
          <w:kern w:val="0"/>
          <w:sz w:val="32"/>
          <w:szCs w:val="32"/>
        </w:rPr>
        <w:t>B</w:t>
      </w:r>
      <w:r w:rsidRPr="007114FC">
        <w:rPr>
          <w:rFonts w:ascii="方正仿宋_GBK" w:eastAsia="方正仿宋_GBK" w:hAnsi="宋体" w:cs="宋体" w:hint="eastAsia"/>
          <w:kern w:val="0"/>
          <w:sz w:val="32"/>
          <w:szCs w:val="32"/>
        </w:rPr>
        <w:t>类规模的每个社区养老服务中心建设补助不超过</w:t>
      </w:r>
      <w:r w:rsidRPr="007114FC">
        <w:rPr>
          <w:rFonts w:ascii="宋体" w:eastAsia="宋体" w:hAnsi="宋体" w:cs="宋体"/>
          <w:kern w:val="0"/>
          <w:sz w:val="32"/>
          <w:szCs w:val="32"/>
        </w:rPr>
        <w:t>50</w:t>
      </w:r>
      <w:r w:rsidRPr="007114FC">
        <w:rPr>
          <w:rFonts w:ascii="方正仿宋_GBK" w:eastAsia="方正仿宋_GBK" w:hAnsi="宋体" w:cs="宋体" w:hint="eastAsia"/>
          <w:kern w:val="0"/>
          <w:sz w:val="32"/>
          <w:szCs w:val="32"/>
        </w:rPr>
        <w:t>万元，</w:t>
      </w:r>
      <w:r w:rsidRPr="007114FC">
        <w:rPr>
          <w:rFonts w:ascii="宋体" w:eastAsia="宋体" w:hAnsi="宋体" w:cs="宋体"/>
          <w:kern w:val="0"/>
          <w:sz w:val="32"/>
          <w:szCs w:val="32"/>
        </w:rPr>
        <w:t>C</w:t>
      </w:r>
      <w:r w:rsidRPr="007114FC">
        <w:rPr>
          <w:rFonts w:ascii="方正仿宋_GBK" w:eastAsia="方正仿宋_GBK" w:hAnsi="宋体" w:cs="宋体" w:hint="eastAsia"/>
          <w:kern w:val="0"/>
          <w:sz w:val="32"/>
          <w:szCs w:val="32"/>
        </w:rPr>
        <w:t>类规模的每个社区养老服务中心建设补助不超过</w:t>
      </w:r>
      <w:r w:rsidRPr="007114FC">
        <w:rPr>
          <w:rFonts w:ascii="宋体" w:eastAsia="宋体" w:hAnsi="宋体" w:cs="宋体"/>
          <w:kern w:val="0"/>
          <w:sz w:val="32"/>
          <w:szCs w:val="32"/>
        </w:rPr>
        <w:t>40</w:t>
      </w:r>
      <w:r w:rsidRPr="007114FC">
        <w:rPr>
          <w:rFonts w:ascii="方正仿宋_GBK" w:eastAsia="方正仿宋_GBK" w:hAnsi="宋体" w:cs="宋体" w:hint="eastAsia"/>
          <w:kern w:val="0"/>
          <w:sz w:val="32"/>
          <w:szCs w:val="32"/>
        </w:rPr>
        <w:t>万元。每个社区养老服务站给予一次性不超过</w:t>
      </w:r>
      <w:r w:rsidRPr="007114FC">
        <w:rPr>
          <w:rFonts w:ascii="宋体" w:eastAsia="宋体" w:hAnsi="宋体" w:cs="宋体"/>
          <w:kern w:val="0"/>
          <w:sz w:val="32"/>
          <w:szCs w:val="32"/>
        </w:rPr>
        <w:t>10</w:t>
      </w:r>
      <w:r w:rsidRPr="007114FC">
        <w:rPr>
          <w:rFonts w:ascii="方正仿宋_GBK" w:eastAsia="方正仿宋_GBK" w:hAnsi="宋体" w:cs="宋体" w:hint="eastAsia"/>
          <w:kern w:val="0"/>
          <w:sz w:val="32"/>
          <w:szCs w:val="32"/>
        </w:rPr>
        <w:t>万元的建设补助。</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政府建设的社区养老服务中心（站）建设补助资金，按项目采取预划拨方式，项目建设申报通过后，经区福利彩票公益金管理委员会审定同意，由区民政局拨付到实施建设的镇街。</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社会力量兴建的社区养老服务中心（站）通过相应的建设验收后，不得擅自改变其养老服务功能和用途，须与所在镇</w:t>
      </w:r>
      <w:proofErr w:type="gramStart"/>
      <w:r w:rsidRPr="007114FC">
        <w:rPr>
          <w:rFonts w:ascii="方正仿宋_GBK" w:eastAsia="方正仿宋_GBK" w:hAnsi="宋体" w:cs="宋体" w:hint="eastAsia"/>
          <w:kern w:val="0"/>
          <w:sz w:val="32"/>
          <w:szCs w:val="32"/>
        </w:rPr>
        <w:t>街签订</w:t>
      </w:r>
      <w:proofErr w:type="gramEnd"/>
      <w:r w:rsidRPr="007114FC">
        <w:rPr>
          <w:rFonts w:ascii="方正仿宋_GBK" w:eastAsia="方正仿宋_GBK" w:hAnsi="宋体" w:cs="宋体" w:hint="eastAsia"/>
          <w:kern w:val="0"/>
          <w:sz w:val="32"/>
          <w:szCs w:val="32"/>
        </w:rPr>
        <w:t>五年及以上的社区养老服务协议，方可获得建设补助，并按照机构申请、镇街初审、区民政局审定的程序申报，经区福利彩票公益金管理委员会审定同意，由区民政局拨付相关项目实施单位。</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楷体_GBK" w:eastAsia="方正楷体_GBK" w:hAnsi="宋体" w:cs="宋体" w:hint="eastAsia"/>
          <w:kern w:val="0"/>
          <w:sz w:val="32"/>
          <w:szCs w:val="32"/>
        </w:rPr>
        <w:t>（二）运营补助标准</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社区养老服务中心（站）运营补助主要以运营效能为依据，评估考核等次为“合格”的，方可按考核等次获得相应补助。</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宋体" w:eastAsia="宋体" w:hAnsi="宋体" w:cs="宋体"/>
          <w:kern w:val="0"/>
          <w:sz w:val="32"/>
          <w:szCs w:val="32"/>
        </w:rPr>
        <w:lastRenderedPageBreak/>
        <w:t>A</w:t>
      </w:r>
      <w:r w:rsidRPr="007114FC">
        <w:rPr>
          <w:rFonts w:ascii="方正仿宋_GBK" w:eastAsia="方正仿宋_GBK" w:hAnsi="宋体" w:cs="宋体" w:hint="eastAsia"/>
          <w:kern w:val="0"/>
          <w:sz w:val="32"/>
          <w:szCs w:val="32"/>
        </w:rPr>
        <w:t>类规模社区养老服务中心补助不超过</w:t>
      </w:r>
      <w:r w:rsidRPr="007114FC">
        <w:rPr>
          <w:rFonts w:ascii="宋体" w:eastAsia="宋体" w:hAnsi="宋体" w:cs="宋体"/>
          <w:kern w:val="0"/>
          <w:sz w:val="32"/>
          <w:szCs w:val="32"/>
        </w:rPr>
        <w:t>30</w:t>
      </w:r>
      <w:r w:rsidRPr="007114FC">
        <w:rPr>
          <w:rFonts w:ascii="方正仿宋_GBK" w:eastAsia="方正仿宋_GBK" w:hAnsi="宋体" w:cs="宋体" w:hint="eastAsia"/>
          <w:kern w:val="0"/>
          <w:sz w:val="32"/>
          <w:szCs w:val="32"/>
        </w:rPr>
        <w:t>万元</w:t>
      </w:r>
      <w:r w:rsidRPr="007114FC">
        <w:rPr>
          <w:rFonts w:ascii="宋体" w:eastAsia="宋体" w:hAnsi="宋体" w:cs="宋体"/>
          <w:kern w:val="0"/>
          <w:sz w:val="32"/>
          <w:szCs w:val="32"/>
        </w:rPr>
        <w:t>/</w:t>
      </w:r>
      <w:r w:rsidRPr="007114FC">
        <w:rPr>
          <w:rFonts w:ascii="方正仿宋_GBK" w:eastAsia="方正仿宋_GBK" w:hAnsi="宋体" w:cs="宋体" w:hint="eastAsia"/>
          <w:kern w:val="0"/>
          <w:sz w:val="32"/>
          <w:szCs w:val="32"/>
        </w:rPr>
        <w:t>年，</w:t>
      </w:r>
      <w:r w:rsidRPr="007114FC">
        <w:rPr>
          <w:rFonts w:ascii="宋体" w:eastAsia="宋体" w:hAnsi="宋体" w:cs="宋体"/>
          <w:kern w:val="0"/>
          <w:sz w:val="32"/>
          <w:szCs w:val="32"/>
        </w:rPr>
        <w:t>B</w:t>
      </w:r>
      <w:r w:rsidRPr="007114FC">
        <w:rPr>
          <w:rFonts w:ascii="方正仿宋_GBK" w:eastAsia="方正仿宋_GBK" w:hAnsi="宋体" w:cs="宋体" w:hint="eastAsia"/>
          <w:kern w:val="0"/>
          <w:sz w:val="32"/>
          <w:szCs w:val="32"/>
        </w:rPr>
        <w:t>类规模社区养老服务中心补助不超过</w:t>
      </w:r>
      <w:r w:rsidRPr="007114FC">
        <w:rPr>
          <w:rFonts w:ascii="宋体" w:eastAsia="宋体" w:hAnsi="宋体" w:cs="宋体"/>
          <w:kern w:val="0"/>
          <w:sz w:val="32"/>
          <w:szCs w:val="32"/>
        </w:rPr>
        <w:t>20</w:t>
      </w:r>
      <w:r w:rsidRPr="007114FC">
        <w:rPr>
          <w:rFonts w:ascii="方正仿宋_GBK" w:eastAsia="方正仿宋_GBK" w:hAnsi="宋体" w:cs="宋体" w:hint="eastAsia"/>
          <w:kern w:val="0"/>
          <w:sz w:val="32"/>
          <w:szCs w:val="32"/>
        </w:rPr>
        <w:t>万元</w:t>
      </w:r>
      <w:r w:rsidRPr="007114FC">
        <w:rPr>
          <w:rFonts w:ascii="宋体" w:eastAsia="宋体" w:hAnsi="宋体" w:cs="宋体"/>
          <w:kern w:val="0"/>
          <w:sz w:val="32"/>
          <w:szCs w:val="32"/>
        </w:rPr>
        <w:t>/</w:t>
      </w:r>
      <w:r w:rsidRPr="007114FC">
        <w:rPr>
          <w:rFonts w:ascii="方正仿宋_GBK" w:eastAsia="方正仿宋_GBK" w:hAnsi="宋体" w:cs="宋体" w:hint="eastAsia"/>
          <w:kern w:val="0"/>
          <w:sz w:val="32"/>
          <w:szCs w:val="32"/>
        </w:rPr>
        <w:t>年、</w:t>
      </w:r>
      <w:r w:rsidRPr="007114FC">
        <w:rPr>
          <w:rFonts w:ascii="宋体" w:eastAsia="宋体" w:hAnsi="宋体" w:cs="宋体"/>
          <w:kern w:val="0"/>
          <w:sz w:val="32"/>
          <w:szCs w:val="32"/>
        </w:rPr>
        <w:t>C</w:t>
      </w:r>
      <w:r w:rsidRPr="007114FC">
        <w:rPr>
          <w:rFonts w:ascii="方正仿宋_GBK" w:eastAsia="方正仿宋_GBK" w:hAnsi="宋体" w:cs="宋体" w:hint="eastAsia"/>
          <w:kern w:val="0"/>
          <w:sz w:val="32"/>
          <w:szCs w:val="32"/>
        </w:rPr>
        <w:t>类规模社区养老服务中心补助不超过</w:t>
      </w:r>
      <w:r w:rsidRPr="007114FC">
        <w:rPr>
          <w:rFonts w:ascii="宋体" w:eastAsia="宋体" w:hAnsi="宋体" w:cs="宋体"/>
          <w:kern w:val="0"/>
          <w:sz w:val="32"/>
          <w:szCs w:val="32"/>
        </w:rPr>
        <w:t>15</w:t>
      </w:r>
      <w:r w:rsidRPr="007114FC">
        <w:rPr>
          <w:rFonts w:ascii="方正仿宋_GBK" w:eastAsia="方正仿宋_GBK" w:hAnsi="宋体" w:cs="宋体" w:hint="eastAsia"/>
          <w:kern w:val="0"/>
          <w:sz w:val="32"/>
          <w:szCs w:val="32"/>
        </w:rPr>
        <w:t>万元</w:t>
      </w:r>
      <w:r w:rsidRPr="007114FC">
        <w:rPr>
          <w:rFonts w:ascii="宋体" w:eastAsia="宋体" w:hAnsi="宋体" w:cs="宋体"/>
          <w:kern w:val="0"/>
          <w:sz w:val="32"/>
          <w:szCs w:val="32"/>
        </w:rPr>
        <w:t>/</w:t>
      </w:r>
      <w:r w:rsidRPr="007114FC">
        <w:rPr>
          <w:rFonts w:ascii="方正仿宋_GBK" w:eastAsia="方正仿宋_GBK" w:hAnsi="宋体" w:cs="宋体" w:hint="eastAsia"/>
          <w:kern w:val="0"/>
          <w:sz w:val="32"/>
          <w:szCs w:val="32"/>
        </w:rPr>
        <w:t>年。以租用方式和运营企业自有产权场地建设的社区养老服务中心，再给予</w:t>
      </w:r>
      <w:r w:rsidRPr="007114FC">
        <w:rPr>
          <w:rFonts w:ascii="宋体" w:eastAsia="宋体" w:hAnsi="宋体" w:cs="宋体"/>
          <w:kern w:val="0"/>
          <w:sz w:val="32"/>
          <w:szCs w:val="32"/>
        </w:rPr>
        <w:t>100</w:t>
      </w:r>
      <w:r w:rsidRPr="007114FC">
        <w:rPr>
          <w:rFonts w:ascii="方正仿宋_GBK" w:eastAsia="方正仿宋_GBK" w:hAnsi="宋体" w:cs="宋体" w:hint="eastAsia"/>
          <w:kern w:val="0"/>
          <w:sz w:val="32"/>
          <w:szCs w:val="32"/>
        </w:rPr>
        <w:t>元</w:t>
      </w:r>
      <w:r w:rsidRPr="007114FC">
        <w:rPr>
          <w:rFonts w:ascii="宋体" w:eastAsia="宋体" w:hAnsi="宋体" w:cs="宋体"/>
          <w:kern w:val="0"/>
          <w:sz w:val="32"/>
          <w:szCs w:val="32"/>
        </w:rPr>
        <w:t>/</w:t>
      </w:r>
      <w:r w:rsidRPr="007114FC">
        <w:rPr>
          <w:rFonts w:ascii="方正仿宋_GBK" w:eastAsia="方正仿宋_GBK" w:hAnsi="宋体" w:cs="宋体" w:hint="eastAsia"/>
          <w:kern w:val="0"/>
          <w:sz w:val="32"/>
          <w:szCs w:val="32"/>
        </w:rPr>
        <w:t>平方米</w:t>
      </w:r>
      <w:r w:rsidRPr="007114FC">
        <w:rPr>
          <w:rFonts w:ascii="宋体" w:eastAsia="宋体" w:hAnsi="宋体" w:cs="宋体"/>
          <w:kern w:val="0"/>
          <w:sz w:val="32"/>
          <w:szCs w:val="32"/>
        </w:rPr>
        <w:t>/</w:t>
      </w:r>
      <w:r w:rsidRPr="007114FC">
        <w:rPr>
          <w:rFonts w:ascii="方正仿宋_GBK" w:eastAsia="方正仿宋_GBK" w:hAnsi="宋体" w:cs="宋体" w:hint="eastAsia"/>
          <w:kern w:val="0"/>
          <w:sz w:val="32"/>
          <w:szCs w:val="32"/>
        </w:rPr>
        <w:t>年的补助，此项运营补助每个社区养老服务中心不超过</w:t>
      </w:r>
      <w:r w:rsidRPr="007114FC">
        <w:rPr>
          <w:rFonts w:ascii="宋体" w:eastAsia="宋体" w:hAnsi="宋体" w:cs="宋体"/>
          <w:kern w:val="0"/>
          <w:sz w:val="32"/>
          <w:szCs w:val="32"/>
        </w:rPr>
        <w:t>20</w:t>
      </w:r>
      <w:r w:rsidRPr="007114FC">
        <w:rPr>
          <w:rFonts w:ascii="方正仿宋_GBK" w:eastAsia="方正仿宋_GBK" w:hAnsi="宋体" w:cs="宋体" w:hint="eastAsia"/>
          <w:kern w:val="0"/>
          <w:sz w:val="32"/>
          <w:szCs w:val="32"/>
        </w:rPr>
        <w:t>万元</w:t>
      </w:r>
      <w:r w:rsidRPr="007114FC">
        <w:rPr>
          <w:rFonts w:ascii="宋体" w:eastAsia="宋体" w:hAnsi="宋体" w:cs="宋体"/>
          <w:kern w:val="0"/>
          <w:sz w:val="32"/>
          <w:szCs w:val="32"/>
        </w:rPr>
        <w:t>/</w:t>
      </w:r>
      <w:r w:rsidRPr="007114FC">
        <w:rPr>
          <w:rFonts w:ascii="方正仿宋_GBK" w:eastAsia="方正仿宋_GBK" w:hAnsi="宋体" w:cs="宋体" w:hint="eastAsia"/>
          <w:kern w:val="0"/>
          <w:sz w:val="32"/>
          <w:szCs w:val="32"/>
        </w:rPr>
        <w:t>年。上述社区养老服务中心运营补助的期限不超过</w:t>
      </w:r>
      <w:r w:rsidRPr="007114FC">
        <w:rPr>
          <w:rFonts w:ascii="宋体" w:eastAsia="宋体" w:hAnsi="宋体" w:cs="宋体"/>
          <w:kern w:val="0"/>
          <w:sz w:val="32"/>
          <w:szCs w:val="32"/>
        </w:rPr>
        <w:t>3</w:t>
      </w:r>
      <w:r w:rsidRPr="007114FC">
        <w:rPr>
          <w:rFonts w:ascii="方正仿宋_GBK" w:eastAsia="方正仿宋_GBK" w:hAnsi="宋体" w:cs="宋体" w:hint="eastAsia"/>
          <w:kern w:val="0"/>
          <w:sz w:val="32"/>
          <w:szCs w:val="32"/>
        </w:rPr>
        <w:t>年。</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每个社区养老服务站运营补助不高于</w:t>
      </w:r>
      <w:r w:rsidRPr="007114FC">
        <w:rPr>
          <w:rFonts w:ascii="宋体" w:eastAsia="宋体" w:hAnsi="宋体" w:cs="宋体"/>
          <w:kern w:val="0"/>
          <w:sz w:val="32"/>
          <w:szCs w:val="32"/>
        </w:rPr>
        <w:t>10</w:t>
      </w:r>
      <w:r w:rsidRPr="007114FC">
        <w:rPr>
          <w:rFonts w:ascii="方正仿宋_GBK" w:eastAsia="方正仿宋_GBK" w:hAnsi="宋体" w:cs="宋体" w:hint="eastAsia"/>
          <w:kern w:val="0"/>
          <w:sz w:val="32"/>
          <w:szCs w:val="32"/>
        </w:rPr>
        <w:t>万元</w:t>
      </w:r>
      <w:r w:rsidRPr="007114FC">
        <w:rPr>
          <w:rFonts w:ascii="宋体" w:eastAsia="宋体" w:hAnsi="宋体" w:cs="宋体"/>
          <w:kern w:val="0"/>
          <w:sz w:val="32"/>
          <w:szCs w:val="32"/>
        </w:rPr>
        <w:t>/</w:t>
      </w:r>
      <w:r w:rsidRPr="007114FC">
        <w:rPr>
          <w:rFonts w:ascii="方正仿宋_GBK" w:eastAsia="方正仿宋_GBK" w:hAnsi="宋体" w:cs="宋体" w:hint="eastAsia"/>
          <w:kern w:val="0"/>
          <w:sz w:val="32"/>
          <w:szCs w:val="32"/>
        </w:rPr>
        <w:t>年。</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年度发生安全责任事故不给予当年度运营补贴。对运营效果较差或者出现重大安全事故的社区养老服务中心（站），由镇</w:t>
      </w:r>
      <w:proofErr w:type="gramStart"/>
      <w:r w:rsidRPr="007114FC">
        <w:rPr>
          <w:rFonts w:ascii="方正仿宋_GBK" w:eastAsia="方正仿宋_GBK" w:hAnsi="宋体" w:cs="宋体" w:hint="eastAsia"/>
          <w:kern w:val="0"/>
          <w:sz w:val="32"/>
          <w:szCs w:val="32"/>
        </w:rPr>
        <w:t>街负责</w:t>
      </w:r>
      <w:proofErr w:type="gramEnd"/>
      <w:r w:rsidRPr="007114FC">
        <w:rPr>
          <w:rFonts w:ascii="方正仿宋_GBK" w:eastAsia="方正仿宋_GBK" w:hAnsi="宋体" w:cs="宋体" w:hint="eastAsia"/>
          <w:kern w:val="0"/>
          <w:sz w:val="32"/>
          <w:szCs w:val="32"/>
        </w:rPr>
        <w:t>督促整改，如整改不达标的，责令退出，并收回相应补助资金。</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黑体_GBK" w:eastAsia="方正黑体_GBK" w:hAnsi="宋体" w:cs="宋体" w:hint="eastAsia"/>
          <w:kern w:val="0"/>
          <w:sz w:val="32"/>
          <w:szCs w:val="32"/>
        </w:rPr>
        <w:t>八、监督管理</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t>区民政局负责指导全区社区养老服务中心（站）建设、运营、管理和审核、验收等工作，并实施监督和检查；对项目单位在申报、使用、管理过程中，有弄虚作假等违规违法行为的，按有关规定收回专项补助资金。取消项目申报和运营管理资格，并依据相关法律法规，追究有关单位和人员的相应责任。</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仿宋_GBK" w:eastAsia="方正仿宋_GBK" w:hAnsi="宋体" w:cs="宋体" w:hint="eastAsia"/>
          <w:kern w:val="0"/>
          <w:sz w:val="32"/>
          <w:szCs w:val="32"/>
        </w:rPr>
        <w:lastRenderedPageBreak/>
        <w:t>镇</w:t>
      </w:r>
      <w:proofErr w:type="gramStart"/>
      <w:r w:rsidRPr="007114FC">
        <w:rPr>
          <w:rFonts w:ascii="方正仿宋_GBK" w:eastAsia="方正仿宋_GBK" w:hAnsi="宋体" w:cs="宋体" w:hint="eastAsia"/>
          <w:kern w:val="0"/>
          <w:sz w:val="32"/>
          <w:szCs w:val="32"/>
        </w:rPr>
        <w:t>街负责</w:t>
      </w:r>
      <w:proofErr w:type="gramEnd"/>
      <w:r w:rsidRPr="007114FC">
        <w:rPr>
          <w:rFonts w:ascii="方正仿宋_GBK" w:eastAsia="方正仿宋_GBK" w:hAnsi="宋体" w:cs="宋体" w:hint="eastAsia"/>
          <w:kern w:val="0"/>
          <w:sz w:val="32"/>
          <w:szCs w:val="32"/>
        </w:rPr>
        <w:t>本辖区内社区养老服务中心（站）的规划、申报、建设及日常运营、监督检查等管理工作。建设、运营主体（单位）负责建设实施、日常运营管理。镇街要建立严格的财务管理制度，特别是要建立享受政府购买补贴对象人员的台账和个人档案，规范日常管理，做到账目清楚，专款专用。区民政局每年定期或不定期对经费使用情况开展检查，对侵占、挪用、虚报冒领等违纪违法行为，依照有关法律法规严肃处理。</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黑体_GBK" w:eastAsia="方正黑体_GBK" w:hAnsi="宋体" w:cs="宋体" w:hint="eastAsia"/>
          <w:kern w:val="0"/>
          <w:sz w:val="32"/>
          <w:szCs w:val="32"/>
        </w:rPr>
        <w:t>九、工作要求</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楷体_GBK" w:eastAsia="方正楷体_GBK" w:hAnsi="宋体" w:cs="宋体" w:hint="eastAsia"/>
          <w:kern w:val="0"/>
          <w:sz w:val="32"/>
          <w:szCs w:val="32"/>
        </w:rPr>
        <w:t>（一）加强领导。</w:t>
      </w:r>
      <w:proofErr w:type="gramStart"/>
      <w:r w:rsidRPr="007114FC">
        <w:rPr>
          <w:rFonts w:ascii="方正仿宋_GBK" w:eastAsia="方正仿宋_GBK" w:hAnsi="宋体" w:cs="宋体" w:hint="eastAsia"/>
          <w:kern w:val="0"/>
          <w:sz w:val="32"/>
          <w:szCs w:val="32"/>
        </w:rPr>
        <w:t>各镇街应高度</w:t>
      </w:r>
      <w:proofErr w:type="gramEnd"/>
      <w:r w:rsidRPr="007114FC">
        <w:rPr>
          <w:rFonts w:ascii="方正仿宋_GBK" w:eastAsia="方正仿宋_GBK" w:hAnsi="宋体" w:cs="宋体" w:hint="eastAsia"/>
          <w:kern w:val="0"/>
          <w:sz w:val="32"/>
          <w:szCs w:val="32"/>
        </w:rPr>
        <w:t>重视社区养老服务中心（站）建设工作，将其列为重要民生工程予以实施，加强调研和评估，科学合理布局，严格按相关规定和程序确定运营机构，重点监督建设质量，实时监测运营效果，全面推进全区“千百工程”建设落实。</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楷体_GBK" w:eastAsia="方正楷体_GBK" w:hAnsi="宋体" w:cs="宋体" w:hint="eastAsia"/>
          <w:kern w:val="0"/>
          <w:sz w:val="32"/>
          <w:szCs w:val="32"/>
        </w:rPr>
        <w:t>（二）加大扶持。</w:t>
      </w:r>
      <w:r w:rsidRPr="007114FC">
        <w:rPr>
          <w:rFonts w:ascii="方正仿宋_GBK" w:eastAsia="方正仿宋_GBK" w:hAnsi="宋体" w:cs="宋体" w:hint="eastAsia"/>
          <w:kern w:val="0"/>
          <w:sz w:val="32"/>
          <w:szCs w:val="32"/>
        </w:rPr>
        <w:t>大力扶持规模化、品牌化、连锁化、专业化的社区养老服务企业（社会组织），鼓励养老机构、社区养老服务中心承接社区养老服务站管理、营运和指导。</w:t>
      </w:r>
    </w:p>
    <w:p w:rsidR="007114FC" w:rsidRPr="007114FC" w:rsidRDefault="007114FC" w:rsidP="007114FC">
      <w:pPr>
        <w:widowControl/>
        <w:spacing w:before="100" w:beforeAutospacing="1" w:line="420" w:lineRule="atLeast"/>
        <w:ind w:firstLine="634"/>
        <w:jc w:val="left"/>
        <w:rPr>
          <w:rFonts w:ascii="宋体" w:eastAsia="宋体" w:hAnsi="宋体" w:cs="宋体"/>
          <w:kern w:val="0"/>
          <w:sz w:val="20"/>
          <w:szCs w:val="20"/>
        </w:rPr>
      </w:pPr>
      <w:r w:rsidRPr="007114FC">
        <w:rPr>
          <w:rFonts w:ascii="方正楷体_GBK" w:eastAsia="方正楷体_GBK" w:hAnsi="宋体" w:cs="宋体" w:hint="eastAsia"/>
          <w:kern w:val="0"/>
          <w:sz w:val="32"/>
          <w:szCs w:val="32"/>
        </w:rPr>
        <w:t>（三）规范管理。</w:t>
      </w:r>
      <w:r w:rsidRPr="007114FC">
        <w:rPr>
          <w:rFonts w:ascii="方正仿宋_GBK" w:eastAsia="方正仿宋_GBK" w:hAnsi="宋体" w:cs="宋体" w:hint="eastAsia"/>
          <w:kern w:val="0"/>
          <w:sz w:val="32"/>
          <w:szCs w:val="32"/>
        </w:rPr>
        <w:t>各镇街要加强制度建设，抓好社区养老服务中心（站）日常监督管理，强化工作措施，确保社区养老服务中心（站）规范安全运行。</w:t>
      </w:r>
    </w:p>
    <w:p w:rsidR="007114FC" w:rsidRPr="007114FC" w:rsidRDefault="007114FC" w:rsidP="007114FC">
      <w:pPr>
        <w:widowControl/>
        <w:spacing w:before="100" w:beforeAutospacing="1" w:line="590" w:lineRule="atLeast"/>
        <w:jc w:val="left"/>
        <w:rPr>
          <w:rFonts w:ascii="宋体" w:eastAsia="宋体" w:hAnsi="宋体" w:cs="宋体"/>
          <w:spacing w:val="-10"/>
          <w:kern w:val="0"/>
          <w:sz w:val="20"/>
          <w:szCs w:val="20"/>
        </w:rPr>
      </w:pPr>
    </w:p>
    <w:p w:rsidR="007114FC" w:rsidRPr="007114FC" w:rsidRDefault="007114FC" w:rsidP="007114FC">
      <w:pPr>
        <w:widowControl/>
        <w:spacing w:before="100" w:beforeAutospacing="1" w:line="420" w:lineRule="atLeast"/>
        <w:jc w:val="left"/>
        <w:rPr>
          <w:rFonts w:ascii="宋体" w:eastAsia="宋体" w:hAnsi="宋体" w:cs="宋体"/>
          <w:spacing w:val="-10"/>
          <w:kern w:val="0"/>
          <w:sz w:val="20"/>
          <w:szCs w:val="20"/>
        </w:rPr>
      </w:pPr>
      <w:r w:rsidRPr="007114FC">
        <w:rPr>
          <w:rFonts w:ascii="宋体" w:eastAsia="宋体" w:hAnsi="宋体" w:cs="宋体"/>
          <w:spacing w:val="-10"/>
          <w:kern w:val="0"/>
          <w:sz w:val="20"/>
          <w:szCs w:val="20"/>
        </w:rPr>
        <w:t> </w:t>
      </w:r>
      <w:r w:rsidRPr="007114FC">
        <w:rPr>
          <w:rFonts w:ascii="宋体" w:eastAsia="宋体" w:hAnsi="宋体" w:cs="宋体"/>
          <w:spacing w:val="-10"/>
          <w:kern w:val="0"/>
          <w:sz w:val="20"/>
          <w:szCs w:val="20"/>
        </w:rPr>
        <w:t> </w:t>
      </w:r>
      <w:r w:rsidRPr="007114FC">
        <w:rPr>
          <w:rFonts w:ascii="宋体" w:eastAsia="宋体" w:hAnsi="宋体" w:cs="宋体"/>
          <w:spacing w:val="-10"/>
          <w:kern w:val="0"/>
          <w:sz w:val="20"/>
          <w:szCs w:val="20"/>
        </w:rPr>
        <w:t> </w:t>
      </w:r>
      <w:r w:rsidRPr="007114FC">
        <w:rPr>
          <w:rFonts w:ascii="宋体" w:eastAsia="宋体" w:hAnsi="宋体" w:cs="宋体"/>
          <w:spacing w:val="-10"/>
          <w:kern w:val="0"/>
          <w:sz w:val="20"/>
          <w:szCs w:val="20"/>
        </w:rPr>
        <w:t> </w:t>
      </w:r>
    </w:p>
    <w:p w:rsidR="00D8656F" w:rsidRPr="007114FC" w:rsidRDefault="00D8656F" w:rsidP="007114FC"/>
    <w:sectPr w:rsidR="00D8656F" w:rsidRPr="007114FC" w:rsidSect="00C85AA9">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806" w:rsidRDefault="00442806" w:rsidP="00AE2FCD">
      <w:r>
        <w:separator/>
      </w:r>
    </w:p>
  </w:endnote>
  <w:endnote w:type="continuationSeparator" w:id="0">
    <w:p w:rsidR="00442806" w:rsidRDefault="00442806" w:rsidP="00AE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MRID">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 w:name="FZKTK--GBK1-0">
    <w:altName w:val="华文仿宋"/>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6F" w:rsidRDefault="00D8656F">
    <w:pPr>
      <w:snapToGrid w:val="0"/>
      <w:spacing w:line="580" w:lineRule="exact"/>
      <w:jc w:val="center"/>
      <w:textAlignment w:val="baseline"/>
      <w:rPr>
        <w:rFonts w:ascii="Times New Roman" w:eastAsia="方正仿宋_GBK" w:hAnsi="Times New Roman"/>
        <w:sz w:val="18"/>
        <w:szCs w:val="18"/>
      </w:rPr>
    </w:pPr>
    <w:r>
      <w:rPr>
        <w:noProof/>
        <w:sz w:val="18"/>
      </w:rPr>
      <mc:AlternateContent>
        <mc:Choice Requires="wps">
          <w:drawing>
            <wp:anchor distT="0" distB="0" distL="114300" distR="114300" simplePos="0" relativeHeight="251659264" behindDoc="0" locked="0" layoutInCell="1" allowOverlap="1" wp14:anchorId="79CCA297" wp14:editId="3A8664F4">
              <wp:simplePos x="0" y="0"/>
              <wp:positionH relativeFrom="margin">
                <wp:align>center</wp:align>
              </wp:positionH>
              <wp:positionV relativeFrom="paragraph">
                <wp:posOffset>-114300</wp:posOffset>
              </wp:positionV>
              <wp:extent cx="676275" cy="368300"/>
              <wp:effectExtent l="0" t="0" r="0" b="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8300"/>
                      </a:xfrm>
                      <a:prstGeom prst="rect">
                        <a:avLst/>
                      </a:prstGeom>
                      <a:noFill/>
                      <a:ln>
                        <a:noFill/>
                      </a:ln>
                      <a:effectLst/>
                    </wps:spPr>
                    <wps:txbx>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7114FC" w:rsidRPr="007114FC">
                            <w:rPr>
                              <w:rFonts w:ascii="Times New Roman" w:eastAsia="方正仿宋_GBK" w:hAnsi="Times New Roman"/>
                              <w:noProof/>
                              <w:sz w:val="28"/>
                              <w:szCs w:val="28"/>
                              <w:lang w:val="zh-CN"/>
                            </w:rPr>
                            <w:t>-</w:t>
                          </w:r>
                          <w:r w:rsidR="007114FC">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9pt;width:53.25pt;height:2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" filled="f" stroked="f">
              <v:textbox style="mso-fit-shape-to-text:t" inset="0,0,0,0">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7114FC" w:rsidRPr="007114FC">
                      <w:rPr>
                        <w:rFonts w:ascii="Times New Roman" w:eastAsia="方正仿宋_GBK" w:hAnsi="Times New Roman"/>
                        <w:noProof/>
                        <w:sz w:val="28"/>
                        <w:szCs w:val="28"/>
                        <w:lang w:val="zh-CN"/>
                      </w:rPr>
                      <w:t>-</w:t>
                    </w:r>
                    <w:r w:rsidR="007114FC">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806" w:rsidRDefault="00442806" w:rsidP="00AE2FCD">
      <w:r>
        <w:separator/>
      </w:r>
    </w:p>
  </w:footnote>
  <w:footnote w:type="continuationSeparator" w:id="0">
    <w:p w:rsidR="00442806" w:rsidRDefault="00442806" w:rsidP="00AE2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3989E"/>
    <w:multiLevelType w:val="singleLevel"/>
    <w:tmpl w:val="C103989E"/>
    <w:lvl w:ilvl="0">
      <w:start w:val="1"/>
      <w:numFmt w:val="chineseCounting"/>
      <w:suff w:val="space"/>
      <w:lvlText w:val="第%1节"/>
      <w:lvlJc w:val="left"/>
      <w:rPr>
        <w:rFonts w:hint="eastAsia"/>
      </w:rPr>
    </w:lvl>
  </w:abstractNum>
  <w:abstractNum w:abstractNumId="1">
    <w:nsid w:val="DCE3FCE5"/>
    <w:multiLevelType w:val="singleLevel"/>
    <w:tmpl w:val="DCE3FCE5"/>
    <w:lvl w:ilvl="0">
      <w:start w:val="2"/>
      <w:numFmt w:val="decimal"/>
      <w:suff w:val="nothing"/>
      <w:lvlText w:val="%1．"/>
      <w:lvlJc w:val="left"/>
      <w:pPr>
        <w:tabs>
          <w:tab w:val="left" w:pos="0"/>
        </w:tabs>
        <w:ind w:left="936" w:firstLine="0"/>
      </w:pPr>
      <w:rPr>
        <w:rFonts w:hint="default"/>
      </w:rPr>
    </w:lvl>
  </w:abstractNum>
  <w:abstractNum w:abstractNumId="2">
    <w:nsid w:val="F52B109B"/>
    <w:multiLevelType w:val="singleLevel"/>
    <w:tmpl w:val="F52B109B"/>
    <w:lvl w:ilvl="0">
      <w:start w:val="5"/>
      <w:numFmt w:val="chineseCounting"/>
      <w:suff w:val="nothing"/>
      <w:lvlText w:val="（%1）"/>
      <w:lvlJc w:val="left"/>
      <w:rPr>
        <w:rFonts w:hint="eastAsia"/>
      </w:rPr>
    </w:lvl>
  </w:abstractNum>
  <w:abstractNum w:abstractNumId="3">
    <w:nsid w:val="00000001"/>
    <w:multiLevelType w:val="multilevel"/>
    <w:tmpl w:val="00000001"/>
    <w:lvl w:ilvl="0">
      <w:start w:val="1"/>
      <w:numFmt w:val="decimal"/>
      <w:suff w:val="nothing"/>
      <w:lvlText w:val="%1"/>
      <w:lvlJc w:val="left"/>
      <w:pPr>
        <w:ind w:left="704" w:hanging="420"/>
      </w:pPr>
      <w:rPr>
        <w:rFonts w:hint="eastAsia"/>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4">
    <w:nsid w:val="00000005"/>
    <w:multiLevelType w:val="multilevel"/>
    <w:tmpl w:val="000000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961131"/>
    <w:multiLevelType w:val="multilevel"/>
    <w:tmpl w:val="4AD2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796E35"/>
    <w:multiLevelType w:val="multilevel"/>
    <w:tmpl w:val="47D2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C74B02"/>
    <w:multiLevelType w:val="multilevel"/>
    <w:tmpl w:val="95B4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661444"/>
    <w:multiLevelType w:val="multilevel"/>
    <w:tmpl w:val="65CCA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78A83"/>
    <w:multiLevelType w:val="singleLevel"/>
    <w:tmpl w:val="20278A83"/>
    <w:lvl w:ilvl="0">
      <w:start w:val="2"/>
      <w:numFmt w:val="chineseCounting"/>
      <w:suff w:val="nothing"/>
      <w:lvlText w:val="（%1）"/>
      <w:lvlJc w:val="left"/>
      <w:rPr>
        <w:rFonts w:hint="eastAsia"/>
      </w:rPr>
    </w:lvl>
  </w:abstractNum>
  <w:abstractNum w:abstractNumId="10">
    <w:nsid w:val="25AA27CE"/>
    <w:multiLevelType w:val="multilevel"/>
    <w:tmpl w:val="25AA2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5258"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77C5BEA"/>
    <w:multiLevelType w:val="multilevel"/>
    <w:tmpl w:val="B2A2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6662FC"/>
    <w:multiLevelType w:val="multilevel"/>
    <w:tmpl w:val="3BF4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0676DB"/>
    <w:multiLevelType w:val="multilevel"/>
    <w:tmpl w:val="EE8AD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2F36C7"/>
    <w:multiLevelType w:val="multilevel"/>
    <w:tmpl w:val="6DAA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D2413F"/>
    <w:multiLevelType w:val="multilevel"/>
    <w:tmpl w:val="B09A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580B29"/>
    <w:multiLevelType w:val="multilevel"/>
    <w:tmpl w:val="AA2A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3450B5"/>
    <w:multiLevelType w:val="multilevel"/>
    <w:tmpl w:val="0164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7D46FB"/>
    <w:multiLevelType w:val="multilevel"/>
    <w:tmpl w:val="B72E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0"/>
  </w:num>
  <w:num w:numId="4">
    <w:abstractNumId w:val="1"/>
  </w:num>
  <w:num w:numId="5">
    <w:abstractNumId w:val="3"/>
  </w:num>
  <w:num w:numId="6">
    <w:abstractNumId w:val="2"/>
  </w:num>
  <w:num w:numId="7">
    <w:abstractNumId w:val="9"/>
  </w:num>
  <w:num w:numId="8">
    <w:abstractNumId w:val="15"/>
  </w:num>
  <w:num w:numId="9">
    <w:abstractNumId w:val="14"/>
  </w:num>
  <w:num w:numId="10">
    <w:abstractNumId w:val="7"/>
  </w:num>
  <w:num w:numId="11">
    <w:abstractNumId w:val="6"/>
  </w:num>
  <w:num w:numId="12">
    <w:abstractNumId w:val="17"/>
  </w:num>
  <w:num w:numId="13">
    <w:abstractNumId w:val="18"/>
  </w:num>
  <w:num w:numId="14">
    <w:abstractNumId w:val="5"/>
  </w:num>
  <w:num w:numId="15">
    <w:abstractNumId w:val="8"/>
  </w:num>
  <w:num w:numId="16">
    <w:abstractNumId w:val="12"/>
  </w:num>
  <w:num w:numId="17">
    <w:abstractNumId w:val="1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95CF4"/>
    <w:rsid w:val="000B5A3E"/>
    <w:rsid w:val="000B75AF"/>
    <w:rsid w:val="000F7CC5"/>
    <w:rsid w:val="00110921"/>
    <w:rsid w:val="0015749B"/>
    <w:rsid w:val="00187B97"/>
    <w:rsid w:val="001E4EF4"/>
    <w:rsid w:val="00235543"/>
    <w:rsid w:val="0026506A"/>
    <w:rsid w:val="002D2450"/>
    <w:rsid w:val="002E6EC1"/>
    <w:rsid w:val="0030647A"/>
    <w:rsid w:val="0033461D"/>
    <w:rsid w:val="003C7B3B"/>
    <w:rsid w:val="003E1248"/>
    <w:rsid w:val="003F1341"/>
    <w:rsid w:val="0043394F"/>
    <w:rsid w:val="00442806"/>
    <w:rsid w:val="004A1EBC"/>
    <w:rsid w:val="004A78EE"/>
    <w:rsid w:val="004B744B"/>
    <w:rsid w:val="004E7DDA"/>
    <w:rsid w:val="00512FEA"/>
    <w:rsid w:val="0052508C"/>
    <w:rsid w:val="00526211"/>
    <w:rsid w:val="00573A43"/>
    <w:rsid w:val="00592381"/>
    <w:rsid w:val="005B572D"/>
    <w:rsid w:val="005B5CE1"/>
    <w:rsid w:val="005C7B7D"/>
    <w:rsid w:val="005D2BE5"/>
    <w:rsid w:val="006A1F33"/>
    <w:rsid w:val="006F6907"/>
    <w:rsid w:val="007114FC"/>
    <w:rsid w:val="0078541A"/>
    <w:rsid w:val="007869A0"/>
    <w:rsid w:val="00790571"/>
    <w:rsid w:val="007967E6"/>
    <w:rsid w:val="00802902"/>
    <w:rsid w:val="00802F6A"/>
    <w:rsid w:val="00823C18"/>
    <w:rsid w:val="008322EC"/>
    <w:rsid w:val="00840F14"/>
    <w:rsid w:val="008A123B"/>
    <w:rsid w:val="008D7AE0"/>
    <w:rsid w:val="009049D4"/>
    <w:rsid w:val="009210FC"/>
    <w:rsid w:val="009551E3"/>
    <w:rsid w:val="00960423"/>
    <w:rsid w:val="009A44F3"/>
    <w:rsid w:val="009F071C"/>
    <w:rsid w:val="00A475A9"/>
    <w:rsid w:val="00A6568D"/>
    <w:rsid w:val="00A94B73"/>
    <w:rsid w:val="00AA1AB4"/>
    <w:rsid w:val="00AE2FCD"/>
    <w:rsid w:val="00BA3862"/>
    <w:rsid w:val="00BB12EE"/>
    <w:rsid w:val="00BE072F"/>
    <w:rsid w:val="00BE16B9"/>
    <w:rsid w:val="00BE2BBA"/>
    <w:rsid w:val="00C36856"/>
    <w:rsid w:val="00C66131"/>
    <w:rsid w:val="00C85AA9"/>
    <w:rsid w:val="00CB6C26"/>
    <w:rsid w:val="00D8656F"/>
    <w:rsid w:val="00D940DF"/>
    <w:rsid w:val="00DB2702"/>
    <w:rsid w:val="00DC4FBE"/>
    <w:rsid w:val="00E15B61"/>
    <w:rsid w:val="00E4202D"/>
    <w:rsid w:val="00E6284C"/>
    <w:rsid w:val="00EC046C"/>
    <w:rsid w:val="00F6017C"/>
    <w:rsid w:val="00F7417E"/>
    <w:rsid w:val="00FB535D"/>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uiPriority w:val="22"/>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 w:type="numbering" w:customStyle="1" w:styleId="61">
    <w:name w:val="无列表6"/>
    <w:next w:val="a2"/>
    <w:uiPriority w:val="99"/>
    <w:semiHidden/>
    <w:unhideWhenUsed/>
    <w:rsid w:val="005D2BE5"/>
  </w:style>
  <w:style w:type="paragraph" w:customStyle="1" w:styleId="western">
    <w:name w:val="western"/>
    <w:basedOn w:val="a"/>
    <w:rsid w:val="005D2BE5"/>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uiPriority w:val="22"/>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 w:type="numbering" w:customStyle="1" w:styleId="61">
    <w:name w:val="无列表6"/>
    <w:next w:val="a2"/>
    <w:uiPriority w:val="99"/>
    <w:semiHidden/>
    <w:unhideWhenUsed/>
    <w:rsid w:val="005D2BE5"/>
  </w:style>
  <w:style w:type="paragraph" w:customStyle="1" w:styleId="western">
    <w:name w:val="western"/>
    <w:basedOn w:val="a"/>
    <w:rsid w:val="005D2BE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7412">
      <w:bodyDiv w:val="1"/>
      <w:marLeft w:val="0"/>
      <w:marRight w:val="0"/>
      <w:marTop w:val="0"/>
      <w:marBottom w:val="0"/>
      <w:divBdr>
        <w:top w:val="none" w:sz="0" w:space="0" w:color="auto"/>
        <w:left w:val="none" w:sz="0" w:space="0" w:color="auto"/>
        <w:bottom w:val="none" w:sz="0" w:space="0" w:color="auto"/>
        <w:right w:val="none" w:sz="0" w:space="0" w:color="auto"/>
      </w:divBdr>
    </w:div>
    <w:div w:id="170459503">
      <w:bodyDiv w:val="1"/>
      <w:marLeft w:val="0"/>
      <w:marRight w:val="0"/>
      <w:marTop w:val="0"/>
      <w:marBottom w:val="0"/>
      <w:divBdr>
        <w:top w:val="none" w:sz="0" w:space="0" w:color="auto"/>
        <w:left w:val="none" w:sz="0" w:space="0" w:color="auto"/>
        <w:bottom w:val="none" w:sz="0" w:space="0" w:color="auto"/>
        <w:right w:val="none" w:sz="0" w:space="0" w:color="auto"/>
      </w:divBdr>
    </w:div>
    <w:div w:id="179323649">
      <w:bodyDiv w:val="1"/>
      <w:marLeft w:val="0"/>
      <w:marRight w:val="0"/>
      <w:marTop w:val="0"/>
      <w:marBottom w:val="0"/>
      <w:divBdr>
        <w:top w:val="none" w:sz="0" w:space="0" w:color="auto"/>
        <w:left w:val="none" w:sz="0" w:space="0" w:color="auto"/>
        <w:bottom w:val="none" w:sz="0" w:space="0" w:color="auto"/>
        <w:right w:val="none" w:sz="0" w:space="0" w:color="auto"/>
      </w:divBdr>
    </w:div>
    <w:div w:id="248344251">
      <w:bodyDiv w:val="1"/>
      <w:marLeft w:val="0"/>
      <w:marRight w:val="0"/>
      <w:marTop w:val="0"/>
      <w:marBottom w:val="0"/>
      <w:divBdr>
        <w:top w:val="none" w:sz="0" w:space="0" w:color="auto"/>
        <w:left w:val="none" w:sz="0" w:space="0" w:color="auto"/>
        <w:bottom w:val="none" w:sz="0" w:space="0" w:color="auto"/>
        <w:right w:val="none" w:sz="0" w:space="0" w:color="auto"/>
      </w:divBdr>
    </w:div>
    <w:div w:id="265649824">
      <w:bodyDiv w:val="1"/>
      <w:marLeft w:val="0"/>
      <w:marRight w:val="0"/>
      <w:marTop w:val="0"/>
      <w:marBottom w:val="0"/>
      <w:divBdr>
        <w:top w:val="none" w:sz="0" w:space="0" w:color="auto"/>
        <w:left w:val="none" w:sz="0" w:space="0" w:color="auto"/>
        <w:bottom w:val="none" w:sz="0" w:space="0" w:color="auto"/>
        <w:right w:val="none" w:sz="0" w:space="0" w:color="auto"/>
      </w:divBdr>
    </w:div>
    <w:div w:id="295376462">
      <w:bodyDiv w:val="1"/>
      <w:marLeft w:val="0"/>
      <w:marRight w:val="0"/>
      <w:marTop w:val="0"/>
      <w:marBottom w:val="0"/>
      <w:divBdr>
        <w:top w:val="none" w:sz="0" w:space="0" w:color="auto"/>
        <w:left w:val="none" w:sz="0" w:space="0" w:color="auto"/>
        <w:bottom w:val="none" w:sz="0" w:space="0" w:color="auto"/>
        <w:right w:val="none" w:sz="0" w:space="0" w:color="auto"/>
      </w:divBdr>
    </w:div>
    <w:div w:id="297953462">
      <w:bodyDiv w:val="1"/>
      <w:marLeft w:val="0"/>
      <w:marRight w:val="0"/>
      <w:marTop w:val="0"/>
      <w:marBottom w:val="0"/>
      <w:divBdr>
        <w:top w:val="none" w:sz="0" w:space="0" w:color="auto"/>
        <w:left w:val="none" w:sz="0" w:space="0" w:color="auto"/>
        <w:bottom w:val="none" w:sz="0" w:space="0" w:color="auto"/>
        <w:right w:val="none" w:sz="0" w:space="0" w:color="auto"/>
      </w:divBdr>
    </w:div>
    <w:div w:id="317928442">
      <w:bodyDiv w:val="1"/>
      <w:marLeft w:val="0"/>
      <w:marRight w:val="0"/>
      <w:marTop w:val="0"/>
      <w:marBottom w:val="0"/>
      <w:divBdr>
        <w:top w:val="none" w:sz="0" w:space="0" w:color="auto"/>
        <w:left w:val="none" w:sz="0" w:space="0" w:color="auto"/>
        <w:bottom w:val="none" w:sz="0" w:space="0" w:color="auto"/>
        <w:right w:val="none" w:sz="0" w:space="0" w:color="auto"/>
      </w:divBdr>
    </w:div>
    <w:div w:id="474221737">
      <w:bodyDiv w:val="1"/>
      <w:marLeft w:val="0"/>
      <w:marRight w:val="0"/>
      <w:marTop w:val="0"/>
      <w:marBottom w:val="0"/>
      <w:divBdr>
        <w:top w:val="none" w:sz="0" w:space="0" w:color="auto"/>
        <w:left w:val="none" w:sz="0" w:space="0" w:color="auto"/>
        <w:bottom w:val="none" w:sz="0" w:space="0" w:color="auto"/>
        <w:right w:val="none" w:sz="0" w:space="0" w:color="auto"/>
      </w:divBdr>
    </w:div>
    <w:div w:id="507212098">
      <w:bodyDiv w:val="1"/>
      <w:marLeft w:val="0"/>
      <w:marRight w:val="0"/>
      <w:marTop w:val="0"/>
      <w:marBottom w:val="0"/>
      <w:divBdr>
        <w:top w:val="none" w:sz="0" w:space="0" w:color="auto"/>
        <w:left w:val="none" w:sz="0" w:space="0" w:color="auto"/>
        <w:bottom w:val="none" w:sz="0" w:space="0" w:color="auto"/>
        <w:right w:val="none" w:sz="0" w:space="0" w:color="auto"/>
      </w:divBdr>
    </w:div>
    <w:div w:id="576549679">
      <w:bodyDiv w:val="1"/>
      <w:marLeft w:val="0"/>
      <w:marRight w:val="0"/>
      <w:marTop w:val="0"/>
      <w:marBottom w:val="0"/>
      <w:divBdr>
        <w:top w:val="none" w:sz="0" w:space="0" w:color="auto"/>
        <w:left w:val="none" w:sz="0" w:space="0" w:color="auto"/>
        <w:bottom w:val="none" w:sz="0" w:space="0" w:color="auto"/>
        <w:right w:val="none" w:sz="0" w:space="0" w:color="auto"/>
      </w:divBdr>
    </w:div>
    <w:div w:id="608005315">
      <w:bodyDiv w:val="1"/>
      <w:marLeft w:val="0"/>
      <w:marRight w:val="0"/>
      <w:marTop w:val="0"/>
      <w:marBottom w:val="0"/>
      <w:divBdr>
        <w:top w:val="none" w:sz="0" w:space="0" w:color="auto"/>
        <w:left w:val="none" w:sz="0" w:space="0" w:color="auto"/>
        <w:bottom w:val="none" w:sz="0" w:space="0" w:color="auto"/>
        <w:right w:val="none" w:sz="0" w:space="0" w:color="auto"/>
      </w:divBdr>
    </w:div>
    <w:div w:id="658121481">
      <w:bodyDiv w:val="1"/>
      <w:marLeft w:val="0"/>
      <w:marRight w:val="0"/>
      <w:marTop w:val="0"/>
      <w:marBottom w:val="0"/>
      <w:divBdr>
        <w:top w:val="none" w:sz="0" w:space="0" w:color="auto"/>
        <w:left w:val="none" w:sz="0" w:space="0" w:color="auto"/>
        <w:bottom w:val="none" w:sz="0" w:space="0" w:color="auto"/>
        <w:right w:val="none" w:sz="0" w:space="0" w:color="auto"/>
      </w:divBdr>
    </w:div>
    <w:div w:id="735319731">
      <w:bodyDiv w:val="1"/>
      <w:marLeft w:val="0"/>
      <w:marRight w:val="0"/>
      <w:marTop w:val="0"/>
      <w:marBottom w:val="0"/>
      <w:divBdr>
        <w:top w:val="none" w:sz="0" w:space="0" w:color="auto"/>
        <w:left w:val="none" w:sz="0" w:space="0" w:color="auto"/>
        <w:bottom w:val="none" w:sz="0" w:space="0" w:color="auto"/>
        <w:right w:val="none" w:sz="0" w:space="0" w:color="auto"/>
      </w:divBdr>
    </w:div>
    <w:div w:id="792751541">
      <w:bodyDiv w:val="1"/>
      <w:marLeft w:val="0"/>
      <w:marRight w:val="0"/>
      <w:marTop w:val="0"/>
      <w:marBottom w:val="0"/>
      <w:divBdr>
        <w:top w:val="none" w:sz="0" w:space="0" w:color="auto"/>
        <w:left w:val="none" w:sz="0" w:space="0" w:color="auto"/>
        <w:bottom w:val="none" w:sz="0" w:space="0" w:color="auto"/>
        <w:right w:val="none" w:sz="0" w:space="0" w:color="auto"/>
      </w:divBdr>
    </w:div>
    <w:div w:id="795368704">
      <w:bodyDiv w:val="1"/>
      <w:marLeft w:val="0"/>
      <w:marRight w:val="0"/>
      <w:marTop w:val="0"/>
      <w:marBottom w:val="0"/>
      <w:divBdr>
        <w:top w:val="none" w:sz="0" w:space="0" w:color="auto"/>
        <w:left w:val="none" w:sz="0" w:space="0" w:color="auto"/>
        <w:bottom w:val="none" w:sz="0" w:space="0" w:color="auto"/>
        <w:right w:val="none" w:sz="0" w:space="0" w:color="auto"/>
      </w:divBdr>
    </w:div>
    <w:div w:id="803232847">
      <w:bodyDiv w:val="1"/>
      <w:marLeft w:val="0"/>
      <w:marRight w:val="0"/>
      <w:marTop w:val="0"/>
      <w:marBottom w:val="0"/>
      <w:divBdr>
        <w:top w:val="none" w:sz="0" w:space="0" w:color="auto"/>
        <w:left w:val="none" w:sz="0" w:space="0" w:color="auto"/>
        <w:bottom w:val="none" w:sz="0" w:space="0" w:color="auto"/>
        <w:right w:val="none" w:sz="0" w:space="0" w:color="auto"/>
      </w:divBdr>
    </w:div>
    <w:div w:id="849295395">
      <w:bodyDiv w:val="1"/>
      <w:marLeft w:val="0"/>
      <w:marRight w:val="0"/>
      <w:marTop w:val="0"/>
      <w:marBottom w:val="0"/>
      <w:divBdr>
        <w:top w:val="none" w:sz="0" w:space="0" w:color="auto"/>
        <w:left w:val="none" w:sz="0" w:space="0" w:color="auto"/>
        <w:bottom w:val="none" w:sz="0" w:space="0" w:color="auto"/>
        <w:right w:val="none" w:sz="0" w:space="0" w:color="auto"/>
      </w:divBdr>
    </w:div>
    <w:div w:id="963998887">
      <w:bodyDiv w:val="1"/>
      <w:marLeft w:val="0"/>
      <w:marRight w:val="0"/>
      <w:marTop w:val="0"/>
      <w:marBottom w:val="0"/>
      <w:divBdr>
        <w:top w:val="none" w:sz="0" w:space="0" w:color="auto"/>
        <w:left w:val="none" w:sz="0" w:space="0" w:color="auto"/>
        <w:bottom w:val="none" w:sz="0" w:space="0" w:color="auto"/>
        <w:right w:val="none" w:sz="0" w:space="0" w:color="auto"/>
      </w:divBdr>
    </w:div>
    <w:div w:id="969364681">
      <w:bodyDiv w:val="1"/>
      <w:marLeft w:val="0"/>
      <w:marRight w:val="0"/>
      <w:marTop w:val="0"/>
      <w:marBottom w:val="0"/>
      <w:divBdr>
        <w:top w:val="none" w:sz="0" w:space="0" w:color="auto"/>
        <w:left w:val="none" w:sz="0" w:space="0" w:color="auto"/>
        <w:bottom w:val="none" w:sz="0" w:space="0" w:color="auto"/>
        <w:right w:val="none" w:sz="0" w:space="0" w:color="auto"/>
      </w:divBdr>
    </w:div>
    <w:div w:id="1049377732">
      <w:bodyDiv w:val="1"/>
      <w:marLeft w:val="0"/>
      <w:marRight w:val="0"/>
      <w:marTop w:val="0"/>
      <w:marBottom w:val="0"/>
      <w:divBdr>
        <w:top w:val="none" w:sz="0" w:space="0" w:color="auto"/>
        <w:left w:val="none" w:sz="0" w:space="0" w:color="auto"/>
        <w:bottom w:val="none" w:sz="0" w:space="0" w:color="auto"/>
        <w:right w:val="none" w:sz="0" w:space="0" w:color="auto"/>
      </w:divBdr>
    </w:div>
    <w:div w:id="1111438595">
      <w:bodyDiv w:val="1"/>
      <w:marLeft w:val="0"/>
      <w:marRight w:val="0"/>
      <w:marTop w:val="0"/>
      <w:marBottom w:val="0"/>
      <w:divBdr>
        <w:top w:val="none" w:sz="0" w:space="0" w:color="auto"/>
        <w:left w:val="none" w:sz="0" w:space="0" w:color="auto"/>
        <w:bottom w:val="none" w:sz="0" w:space="0" w:color="auto"/>
        <w:right w:val="none" w:sz="0" w:space="0" w:color="auto"/>
      </w:divBdr>
    </w:div>
    <w:div w:id="1169367150">
      <w:bodyDiv w:val="1"/>
      <w:marLeft w:val="0"/>
      <w:marRight w:val="0"/>
      <w:marTop w:val="0"/>
      <w:marBottom w:val="0"/>
      <w:divBdr>
        <w:top w:val="none" w:sz="0" w:space="0" w:color="auto"/>
        <w:left w:val="none" w:sz="0" w:space="0" w:color="auto"/>
        <w:bottom w:val="none" w:sz="0" w:space="0" w:color="auto"/>
        <w:right w:val="none" w:sz="0" w:space="0" w:color="auto"/>
      </w:divBdr>
    </w:div>
    <w:div w:id="1486968606">
      <w:bodyDiv w:val="1"/>
      <w:marLeft w:val="0"/>
      <w:marRight w:val="0"/>
      <w:marTop w:val="0"/>
      <w:marBottom w:val="0"/>
      <w:divBdr>
        <w:top w:val="none" w:sz="0" w:space="0" w:color="auto"/>
        <w:left w:val="none" w:sz="0" w:space="0" w:color="auto"/>
        <w:bottom w:val="none" w:sz="0" w:space="0" w:color="auto"/>
        <w:right w:val="none" w:sz="0" w:space="0" w:color="auto"/>
      </w:divBdr>
    </w:div>
    <w:div w:id="1639068895">
      <w:bodyDiv w:val="1"/>
      <w:marLeft w:val="0"/>
      <w:marRight w:val="0"/>
      <w:marTop w:val="0"/>
      <w:marBottom w:val="0"/>
      <w:divBdr>
        <w:top w:val="none" w:sz="0" w:space="0" w:color="auto"/>
        <w:left w:val="none" w:sz="0" w:space="0" w:color="auto"/>
        <w:bottom w:val="none" w:sz="0" w:space="0" w:color="auto"/>
        <w:right w:val="none" w:sz="0" w:space="0" w:color="auto"/>
      </w:divBdr>
    </w:div>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 w:id="1855605888">
      <w:bodyDiv w:val="1"/>
      <w:marLeft w:val="0"/>
      <w:marRight w:val="0"/>
      <w:marTop w:val="0"/>
      <w:marBottom w:val="0"/>
      <w:divBdr>
        <w:top w:val="none" w:sz="0" w:space="0" w:color="auto"/>
        <w:left w:val="none" w:sz="0" w:space="0" w:color="auto"/>
        <w:bottom w:val="none" w:sz="0" w:space="0" w:color="auto"/>
        <w:right w:val="none" w:sz="0" w:space="0" w:color="auto"/>
      </w:divBdr>
    </w:div>
    <w:div w:id="1906062059">
      <w:bodyDiv w:val="1"/>
      <w:marLeft w:val="0"/>
      <w:marRight w:val="0"/>
      <w:marTop w:val="0"/>
      <w:marBottom w:val="0"/>
      <w:divBdr>
        <w:top w:val="none" w:sz="0" w:space="0" w:color="auto"/>
        <w:left w:val="none" w:sz="0" w:space="0" w:color="auto"/>
        <w:bottom w:val="none" w:sz="0" w:space="0" w:color="auto"/>
        <w:right w:val="none" w:sz="0" w:space="0" w:color="auto"/>
      </w:divBdr>
    </w:div>
    <w:div w:id="1986624542">
      <w:bodyDiv w:val="1"/>
      <w:marLeft w:val="0"/>
      <w:marRight w:val="0"/>
      <w:marTop w:val="0"/>
      <w:marBottom w:val="0"/>
      <w:divBdr>
        <w:top w:val="none" w:sz="0" w:space="0" w:color="auto"/>
        <w:left w:val="none" w:sz="0" w:space="0" w:color="auto"/>
        <w:bottom w:val="none" w:sz="0" w:space="0" w:color="auto"/>
        <w:right w:val="none" w:sz="0" w:space="0" w:color="auto"/>
      </w:divBdr>
    </w:div>
    <w:div w:id="2101751158">
      <w:bodyDiv w:val="1"/>
      <w:marLeft w:val="0"/>
      <w:marRight w:val="0"/>
      <w:marTop w:val="0"/>
      <w:marBottom w:val="0"/>
      <w:divBdr>
        <w:top w:val="none" w:sz="0" w:space="0" w:color="auto"/>
        <w:left w:val="none" w:sz="0" w:space="0" w:color="auto"/>
        <w:bottom w:val="none" w:sz="0" w:space="0" w:color="auto"/>
        <w:right w:val="none" w:sz="0" w:space="0" w:color="auto"/>
      </w:divBdr>
    </w:div>
    <w:div w:id="2113236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dcterms:created xsi:type="dcterms:W3CDTF">2021-12-31T08:08:00Z</dcterms:created>
  <dcterms:modified xsi:type="dcterms:W3CDTF">2021-12-31T09:35:00Z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