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5C" w:rsidRDefault="00FD555C">
      <w:pPr>
        <w:spacing w:line="574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FD555C" w:rsidRDefault="00FD555C">
      <w:pPr>
        <w:spacing w:line="594" w:lineRule="exact"/>
        <w:ind w:firstLineChars="35" w:firstLine="75"/>
        <w:jc w:val="center"/>
        <w:rPr>
          <w:rFonts w:ascii="方正小标宋_GBK" w:eastAsia="方正小标宋_GBK" w:hAnsi="宋体"/>
          <w:b/>
          <w:color w:val="FF0000"/>
          <w:w w:val="66"/>
          <w:sz w:val="32"/>
          <w:szCs w:val="32"/>
        </w:rPr>
      </w:pPr>
    </w:p>
    <w:p w:rsidR="00FD555C" w:rsidRDefault="00FD555C">
      <w:pPr>
        <w:pStyle w:val="5"/>
        <w:ind w:left="0"/>
      </w:pPr>
    </w:p>
    <w:p w:rsidR="00FD555C" w:rsidRDefault="00FD555C">
      <w:pPr>
        <w:spacing w:line="594" w:lineRule="exact"/>
        <w:rPr>
          <w:rFonts w:ascii="方正小标宋_GBK" w:eastAsia="方正小标宋_GBK" w:hAnsi="宋体"/>
          <w:b/>
          <w:color w:val="FF0000"/>
          <w:w w:val="66"/>
          <w:sz w:val="32"/>
          <w:szCs w:val="32"/>
        </w:rPr>
      </w:pPr>
    </w:p>
    <w:p w:rsidR="00FD555C" w:rsidRDefault="0072189C">
      <w:pPr>
        <w:spacing w:line="900" w:lineRule="exact"/>
        <w:jc w:val="center"/>
        <w:rPr>
          <w:rFonts w:hAnsi="宋体"/>
          <w:b/>
          <w:color w:val="FF0000"/>
          <w:w w:val="66"/>
          <w:sz w:val="84"/>
          <w:szCs w:val="84"/>
        </w:rPr>
      </w:pPr>
      <w:r>
        <w:rPr>
          <w:rFonts w:ascii="方正小标宋_GBK" w:eastAsia="方正小标宋_GBK" w:hAnsi="宋体" w:hint="eastAsia"/>
          <w:b/>
          <w:color w:val="FF0000"/>
          <w:w w:val="66"/>
          <w:sz w:val="84"/>
          <w:szCs w:val="84"/>
        </w:rPr>
        <w:t>重庆市沙坪坝区教育委员会文件</w:t>
      </w:r>
    </w:p>
    <w:p w:rsidR="00FD555C" w:rsidRDefault="00FD555C">
      <w:pPr>
        <w:widowControl/>
        <w:spacing w:line="594" w:lineRule="exact"/>
        <w:rPr>
          <w:bCs/>
          <w:kern w:val="0"/>
          <w:sz w:val="32"/>
          <w:szCs w:val="32"/>
        </w:rPr>
      </w:pPr>
    </w:p>
    <w:p w:rsidR="00FD555C" w:rsidRDefault="00FD555C">
      <w:pPr>
        <w:pStyle w:val="a0"/>
      </w:pPr>
    </w:p>
    <w:p w:rsidR="00FD555C" w:rsidRDefault="0072189C">
      <w:pPr>
        <w:widowControl/>
        <w:spacing w:line="594" w:lineRule="exact"/>
        <w:jc w:val="center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沙教委发〔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121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号</w:t>
      </w:r>
    </w:p>
    <w:p w:rsidR="00FD555C" w:rsidRDefault="0072189C">
      <w:pPr>
        <w:widowControl/>
        <w:spacing w:line="594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方正仿宋_GBK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162560</wp:posOffset>
                </wp:positionV>
                <wp:extent cx="5743575" cy="0"/>
                <wp:effectExtent l="0" t="9525" r="9525" b="952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5FA2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-1.8pt;margin-top:12.8pt;width:452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" strokecolor="red" strokeweight="1.5pt"/>
            </w:pict>
          </mc:Fallback>
        </mc:AlternateContent>
      </w:r>
    </w:p>
    <w:p w:rsidR="00FD555C" w:rsidRDefault="0072189C">
      <w:pPr>
        <w:widowControl/>
        <w:spacing w:line="594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重庆市沙坪坝区教育委员会</w:t>
      </w:r>
    </w:p>
    <w:p w:rsidR="00FD555C" w:rsidRDefault="0072189C">
      <w:pPr>
        <w:widowControl/>
        <w:spacing w:line="594" w:lineRule="exact"/>
        <w:jc w:val="center"/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关于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cs="Times New Roman" w:hint="eastAsia"/>
          <w:bCs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bCs/>
          <w:kern w:val="0"/>
          <w:sz w:val="44"/>
          <w:szCs w:val="44"/>
        </w:rPr>
        <w:t>年度民办学校年检结果的通报</w:t>
      </w:r>
    </w:p>
    <w:p w:rsidR="00FD555C" w:rsidRDefault="00FD555C">
      <w:pPr>
        <w:spacing w:line="594" w:lineRule="exact"/>
        <w:rPr>
          <w:rFonts w:ascii="Times New Roman" w:eastAsia="仿宋_GB2312" w:hAnsi="Times New Roman" w:cs="Times New Roman"/>
          <w:b/>
          <w:color w:val="FF0000"/>
          <w:sz w:val="32"/>
          <w:szCs w:val="32"/>
          <w:u w:val="thick"/>
        </w:rPr>
      </w:pPr>
    </w:p>
    <w:p w:rsidR="00FD555C" w:rsidRDefault="0072189C">
      <w:pPr>
        <w:widowControl/>
        <w:spacing w:line="594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为进一步规范民办学校的办学行为，促进民办教育健康发展，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根据</w:t>
      </w:r>
      <w:hyperlink r:id="rId7" w:history="1">
        <w:r>
          <w:rPr>
            <w:rFonts w:ascii="Times New Roman" w:eastAsia="方正仿宋_GBK" w:hAnsi="Times New Roman" w:cs="Times New Roman"/>
            <w:spacing w:val="-4"/>
            <w:kern w:val="0"/>
            <w:sz w:val="32"/>
            <w:szCs w:val="32"/>
          </w:rPr>
          <w:t>《民办教育促进法》</w:t>
        </w:r>
      </w:hyperlink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及其实施条例、《重庆市非营利性民办学校监督管理实施细则》和《重庆市营利性民办学校监督管理实施细则》等法律法规要求，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沙坪坝区教育委员会依法对全区民办学校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年度办学情况进行了年度检查，现将年检结果通报如下：</w:t>
      </w:r>
    </w:p>
    <w:p w:rsidR="00FD555C" w:rsidRDefault="0072189C">
      <w:pPr>
        <w:widowControl/>
        <w:spacing w:line="594" w:lineRule="exact"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一、年检合格的民办学校（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60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所）</w:t>
      </w:r>
    </w:p>
    <w:p w:rsidR="00FD555C" w:rsidRDefault="0072189C">
      <w:pPr>
        <w:widowControl/>
        <w:spacing w:line="594" w:lineRule="exact"/>
        <w:ind w:firstLineChars="200" w:firstLine="643"/>
        <w:jc w:val="left"/>
        <w:rPr>
          <w:rFonts w:ascii="Times New Roman" w:eastAsia="方正楷体_GBK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（一）学历教育学校（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所</w:t>
      </w:r>
      <w:r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）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楷体_GBK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重庆市沙坪坝区名校联合外语小学校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重庆光华女子职业中等专业学校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lastRenderedPageBreak/>
        <w:t>3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重庆市南丁卫生职业学校</w:t>
      </w:r>
    </w:p>
    <w:p w:rsidR="00FD555C" w:rsidRDefault="0072189C">
      <w:pPr>
        <w:widowControl/>
        <w:spacing w:line="594" w:lineRule="exact"/>
        <w:ind w:firstLineChars="200" w:firstLine="643"/>
        <w:jc w:val="left"/>
        <w:rPr>
          <w:rFonts w:ascii="Times New Roman" w:eastAsia="方正楷体_GBK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（二）非学历培训机构（</w:t>
      </w:r>
      <w:r>
        <w:rPr>
          <w:rFonts w:ascii="Times New Roman" w:eastAsia="方正楷体_GBK" w:hAnsi="Times New Roman" w:cs="Times New Roman" w:hint="eastAsia"/>
          <w:b/>
          <w:kern w:val="0"/>
          <w:sz w:val="32"/>
          <w:szCs w:val="32"/>
        </w:rPr>
        <w:t>57</w:t>
      </w:r>
      <w:r>
        <w:rPr>
          <w:rFonts w:ascii="Times New Roman" w:eastAsia="方正楷体_GBK" w:hAnsi="Times New Roman" w:cs="Times New Roman"/>
          <w:b/>
          <w:kern w:val="0"/>
          <w:sz w:val="32"/>
          <w:szCs w:val="32"/>
        </w:rPr>
        <w:t>所）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重庆市沙坪坝区天童艺术培训中心有限公司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重庆市沙坪坝区琢玉文化培训中心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重庆市沙坪坝区立人教育培训学校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重庆市沙坪坝区护航科技艺术培训中心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重庆市沙坪坝区美育高教育培训学校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6.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重庆市艺栈艺术培训有限公司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7.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重庆知未来艺术培训有限责任公司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8.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重庆市沙坪坝区法商教育培训学校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9.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重庆市沙坪坝区优木课外培训学校有限公司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重庆育源科技培训有限公司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11.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重庆市沙坪坝区立创文化培训学校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12.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重庆市沙坪坝区师苑教育培训中心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重庆市沙坪坝区五云山寨教育培训学校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重庆沙坪坝欣明文化艺术培训学校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15.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重庆市沙坪坝区欧文艺术培训中心有限公司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16.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重庆市沙坪坝区元豆艺术培训有限公司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17.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重庆市华清教育培训学校有限公司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18.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重庆市沙坪坝区春知晖课外教育培训学校有限公司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19.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重庆市沙坪坝区蜀知堂课外培训学校有限公司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20.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重庆市沙坪坝区文登课外培训学校有限公司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lastRenderedPageBreak/>
        <w:t>21.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重庆市沙坪坝区学可通文化艺术培训学校有限公司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22.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重庆市沙坪坝区重图教育培训中心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重庆市沙坪坝区愚公艺术培训有限公司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重庆市鸣声艺术培训有限公司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25.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重庆市沙坪坝区浩搏课外培训学校有限公司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26.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重庆市沙坪坝区心田花开艺术培训有限公司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27.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重庆蕴华课外教育培训学校有限公司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28.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重庆市沙坪坝区崛起文化艺术培训学校有限公司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29.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重庆励成科技培训有限公司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30.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重庆市沙坪坝区新思维艺术培训中心有限公司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31.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重庆金蝌课外教育培训学校有限公司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32.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重庆市沙坪坝区壹心壹科技培训中心有限公司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重庆市沙坪坝区非凡艺林课外教育培训学校有限公司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重庆市沙坪坝区英孚表演艺术培训有限公司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35.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重庆远帆腾飞文化艺术有限公司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36.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重庆埃克斯艺术培训有限公司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37.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重庆市沙坪坝区学大科技培训有限公司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38.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重庆市沙坪坝区奥晟林艺术培训有限公司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39.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重庆舞六七艺术培训有限公司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40.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重庆新东方教育培训学校有限公司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41.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重庆市沙坪坝区南星文化艺术有限公司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42.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重庆艺思伦课外教育培训中心有限公司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lastRenderedPageBreak/>
        <w:t>43.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重庆市沙坪坝区联合教育培训学校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重庆市沙坪坝区考课力艺术科技培训中心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45.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重庆市沙坪坝区精英教育培训学校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46.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重庆沙坪坝瑞达教育培训学校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47.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重庆市沙坪坝区美旋课程培训学校有限公司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48.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重庆同恩课外培训学校集团有限公司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49.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重庆市沙坪坝区学而思益慧科技培训有限公司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50.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重庆新欣剑桥外语培训学校有限公司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51.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重庆市沙坪坝区圆舞曲文化艺术培训学校有限公司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52.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重庆欣兴大千文化艺术培训学校有限责任公司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重庆市沙坪坝区大成胜优科技培训有限公司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重庆市沙坪坝区敏学课外培训学校有限公司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55.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重庆市沙坪坝区三中英才艺术培训中心有限公司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56.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重庆市烛光课外教育培训学校有限责任公司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57.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重庆尚领教育培训学校有限公司</w:t>
      </w:r>
    </w:p>
    <w:p w:rsidR="00FD555C" w:rsidRDefault="0072189C">
      <w:pPr>
        <w:widowControl/>
        <w:spacing w:line="594" w:lineRule="exact"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年检基本合格的民办学校（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所）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重庆市沙坪坝区树慧教育培训学校有限公司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重庆速才文化艺术培训学校有限公司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重庆睿仕课外教育培训学校有限责任公司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重庆沙坪坝区丞辅艺术培训中心</w:t>
      </w:r>
    </w:p>
    <w:p w:rsidR="00FD555C" w:rsidRDefault="0072189C">
      <w:pPr>
        <w:widowControl/>
        <w:spacing w:line="594" w:lineRule="exact"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三、未参加年检或年检不合格的民办学校（</w:t>
      </w: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4</w:t>
      </w: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所）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重庆市沙坪坝区佰苓艺术培训中心有限责任公司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lastRenderedPageBreak/>
        <w:t>2.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重庆市沙坪坝区心灵一方艺术培训学校有限公司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重庆市沙坪坝区博文高等教育自考助学中心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重庆市沙坪坝区中公教育培训学校</w:t>
      </w:r>
    </w:p>
    <w:p w:rsidR="00FD555C" w:rsidRDefault="0072189C">
      <w:pPr>
        <w:widowControl/>
        <w:spacing w:line="594" w:lineRule="exact"/>
        <w:ind w:firstLineChars="200" w:firstLine="640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四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、许可有效期到期作废，停止</w:t>
      </w: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培训的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民办学校（</w:t>
      </w:r>
      <w:r>
        <w:rPr>
          <w:rFonts w:ascii="Times New Roman" w:eastAsia="方正黑体_GBK" w:hAnsi="Times New Roman" w:cs="Times New Roman" w:hint="eastAsia"/>
          <w:kern w:val="0"/>
          <w:sz w:val="32"/>
          <w:szCs w:val="32"/>
        </w:rPr>
        <w:t>16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所）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重庆市沙坪坝区联港教育培训有限公司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  <w:t>重庆雅思外国语教育培训学校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重庆市沙坪坝区美迪外语教育培训学校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重庆市沙坪坝区美联英语教育培训学校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5.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重庆市沙坪坝区英赛特外语培训学校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6.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重庆市沙坪坝区学而思培优课外培训学校有限公司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7.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重庆童果向上课外教育培训学校有限公司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8.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重庆深知课外培训学校有限公司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9.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重庆沙坪坝大帝教育培训学校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10.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重庆市沙坪坝区才高课外培训学校有限公司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11.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重庆市沙坪坝区京翰教育培训学校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12.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重庆市沙坪坝区乐贝成教育培训有限公司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13.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重庆市沙坪坝区精锐学涯教育培训有限公司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14.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重庆沙坪坝区匠心华威外语教育培训学校有限公司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15.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重庆市沙坪坝区视拓教育培训学校</w:t>
      </w:r>
    </w:p>
    <w:p w:rsidR="00FD555C" w:rsidRDefault="0072189C">
      <w:pPr>
        <w:widowControl/>
        <w:spacing w:line="594" w:lineRule="exact"/>
        <w:ind w:firstLineChars="200" w:firstLine="624"/>
        <w:jc w:val="left"/>
        <w:rPr>
          <w:rFonts w:ascii="Times New Roman" w:eastAsia="方正黑体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16.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重庆阳光喔课外教育培训学校有限公司</w:t>
      </w:r>
    </w:p>
    <w:p w:rsidR="00FD555C" w:rsidRDefault="00FD555C">
      <w:pPr>
        <w:widowControl/>
        <w:spacing w:line="594" w:lineRule="exact"/>
        <w:jc w:val="lef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72189C">
      <w:pPr>
        <w:widowControl/>
        <w:spacing w:line="594" w:lineRule="exact"/>
        <w:ind w:firstLineChars="200" w:firstLine="624"/>
        <w:jc w:val="righ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重庆市沙坪坝区教育委员会</w:t>
      </w:r>
    </w:p>
    <w:p w:rsidR="00FD555C" w:rsidRDefault="0072189C">
      <w:pPr>
        <w:widowControl/>
        <w:wordWrap w:val="0"/>
        <w:spacing w:line="594" w:lineRule="exact"/>
        <w:ind w:firstLineChars="200" w:firstLine="624"/>
        <w:jc w:val="right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lastRenderedPageBreak/>
        <w:t>2023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30</w:t>
      </w:r>
      <w:r>
        <w:rPr>
          <w:rFonts w:ascii="Times New Roman" w:eastAsia="方正仿宋_GBK" w:hAnsi="Times New Roman" w:cs="Times New Roman" w:hint="eastAsia"/>
          <w:spacing w:val="-4"/>
          <w:kern w:val="0"/>
          <w:sz w:val="32"/>
          <w:szCs w:val="32"/>
        </w:rPr>
        <w:t>日</w:t>
      </w:r>
    </w:p>
    <w:p w:rsidR="00FD555C" w:rsidRDefault="00FD555C">
      <w:pPr>
        <w:pStyle w:val="a0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5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a0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5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a0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5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a0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5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a0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5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pStyle w:val="a0"/>
        <w:rPr>
          <w:rFonts w:ascii="Times New Roman" w:eastAsia="方正仿宋_GBK" w:hAnsi="Times New Roman" w:cs="Times New Roman"/>
          <w:spacing w:val="-4"/>
          <w:kern w:val="0"/>
          <w:sz w:val="32"/>
          <w:szCs w:val="32"/>
        </w:rPr>
      </w:pPr>
    </w:p>
    <w:p w:rsidR="00FD555C" w:rsidRDefault="00FD555C">
      <w:pPr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FD555C" w:rsidRDefault="00FD555C">
      <w:pPr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FD555C" w:rsidRDefault="00FD555C">
      <w:pPr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FD555C" w:rsidRDefault="00FD555C">
      <w:pPr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FD555C" w:rsidRDefault="00FD555C">
      <w:pPr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</w:p>
    <w:p w:rsidR="00FD555C" w:rsidRDefault="0072189C">
      <w:pPr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（此件</w:t>
      </w:r>
      <w:r w:rsidR="0054113B">
        <w:rPr>
          <w:rFonts w:ascii="Times New Roman" w:eastAsia="方正仿宋_GBK" w:hAnsi="Times New Roman" w:hint="eastAsia"/>
          <w:sz w:val="32"/>
          <w:szCs w:val="32"/>
        </w:rPr>
        <w:t>公开</w:t>
      </w:r>
      <w:r w:rsidR="0054113B">
        <w:rPr>
          <w:rFonts w:ascii="Times New Roman" w:eastAsia="方正仿宋_GBK" w:hAnsi="Times New Roman"/>
          <w:sz w:val="32"/>
          <w:szCs w:val="32"/>
        </w:rPr>
        <w:t>发布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>）</w:t>
      </w:r>
    </w:p>
    <w:p w:rsidR="00FD555C" w:rsidRDefault="00FD555C"/>
    <w:p w:rsidR="00FD555C" w:rsidRDefault="0072189C">
      <w:pPr>
        <w:spacing w:line="594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393700</wp:posOffset>
                </wp:positionV>
                <wp:extent cx="57607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D1BA0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1pt" to="448.2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"/>
            </w:pict>
          </mc:Fallback>
        </mc:AlternateContent>
      </w:r>
      <w:r>
        <w:rPr>
          <w:rFonts w:ascii="Times New Roman" w:eastAsia="方正仿宋_GBK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54610</wp:posOffset>
                </wp:positionV>
                <wp:extent cx="576072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E0704" id="直接连接符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5pt,4.3pt" to="447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"/>
            </w:pict>
          </mc:Fallback>
        </mc:AlternateContent>
      </w:r>
      <w:r>
        <w:rPr>
          <w:rFonts w:ascii="Times New Roman" w:eastAsia="方正仿宋_GBK" w:hAnsi="Times New Roman"/>
          <w:bCs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bCs/>
          <w:sz w:val="28"/>
          <w:szCs w:val="28"/>
        </w:rPr>
        <w:t>重庆市</w:t>
      </w:r>
      <w:r>
        <w:rPr>
          <w:rFonts w:ascii="Times New Roman" w:eastAsia="方正仿宋_GBK" w:hAnsi="Times New Roman"/>
          <w:bCs/>
          <w:sz w:val="28"/>
          <w:szCs w:val="28"/>
        </w:rPr>
        <w:t>沙坪坝区教育委员会</w:t>
      </w:r>
      <w:r>
        <w:rPr>
          <w:rFonts w:ascii="Times New Roman" w:eastAsia="方正仿宋_GBK" w:hAnsi="Times New Roman" w:hint="eastAsia"/>
          <w:bCs/>
          <w:sz w:val="28"/>
          <w:szCs w:val="28"/>
        </w:rPr>
        <w:t>办公室</w:t>
      </w:r>
      <w:r>
        <w:rPr>
          <w:rFonts w:ascii="Times New Roman" w:eastAsia="方正仿宋_GBK" w:hAnsi="Times New Roman" w:hint="eastAsia"/>
          <w:bCs/>
          <w:sz w:val="28"/>
          <w:szCs w:val="28"/>
        </w:rPr>
        <w:t xml:space="preserve">     </w:t>
      </w:r>
      <w:r>
        <w:rPr>
          <w:rFonts w:ascii="Times New Roman" w:eastAsia="方正仿宋_GBK" w:hAnsi="Times New Roman"/>
          <w:bCs/>
          <w:sz w:val="28"/>
          <w:szCs w:val="28"/>
        </w:rPr>
        <w:t xml:space="preserve">    </w:t>
      </w:r>
      <w:r>
        <w:rPr>
          <w:rFonts w:ascii="Times New Roman" w:eastAsia="方正仿宋_GBK" w:hAnsi="Times New Roman" w:hint="eastAsia"/>
          <w:bCs/>
          <w:sz w:val="28"/>
          <w:szCs w:val="28"/>
        </w:rPr>
        <w:t xml:space="preserve"> </w:t>
      </w:r>
      <w:r>
        <w:rPr>
          <w:rFonts w:ascii="Times New Roman" w:eastAsia="方正仿宋_GBK" w:hAnsi="Times New Roman"/>
          <w:bCs/>
          <w:sz w:val="28"/>
          <w:szCs w:val="28"/>
        </w:rPr>
        <w:t>20</w:t>
      </w:r>
      <w:r>
        <w:rPr>
          <w:rFonts w:ascii="Times New Roman" w:eastAsia="方正仿宋_GBK" w:hAnsi="Times New Roman" w:hint="eastAsia"/>
          <w:bCs/>
          <w:sz w:val="28"/>
          <w:szCs w:val="28"/>
        </w:rPr>
        <w:t>23</w:t>
      </w:r>
      <w:r>
        <w:rPr>
          <w:rFonts w:ascii="Times New Roman" w:eastAsia="方正仿宋_GBK" w:hAnsi="Times New Roman"/>
          <w:bCs/>
          <w:sz w:val="28"/>
          <w:szCs w:val="28"/>
        </w:rPr>
        <w:t>年</w:t>
      </w:r>
      <w:r>
        <w:rPr>
          <w:rFonts w:ascii="Times New Roman" w:eastAsia="方正仿宋_GBK" w:hAnsi="Times New Roman" w:hint="eastAsia"/>
          <w:bCs/>
          <w:sz w:val="28"/>
          <w:szCs w:val="28"/>
        </w:rPr>
        <w:t>6</w:t>
      </w:r>
      <w:r>
        <w:rPr>
          <w:rFonts w:ascii="Times New Roman" w:eastAsia="方正仿宋_GBK" w:hAnsi="Times New Roman"/>
          <w:bCs/>
          <w:sz w:val="28"/>
          <w:szCs w:val="28"/>
        </w:rPr>
        <w:t>月</w:t>
      </w:r>
      <w:r>
        <w:rPr>
          <w:rFonts w:ascii="Times New Roman" w:eastAsia="方正仿宋_GBK" w:hAnsi="Times New Roman" w:hint="eastAsia"/>
          <w:bCs/>
          <w:sz w:val="28"/>
          <w:szCs w:val="28"/>
        </w:rPr>
        <w:t>30</w:t>
      </w:r>
      <w:r>
        <w:rPr>
          <w:rFonts w:ascii="Times New Roman" w:eastAsia="方正仿宋_GBK" w:hAnsi="Times New Roman"/>
          <w:bCs/>
          <w:sz w:val="28"/>
          <w:szCs w:val="28"/>
        </w:rPr>
        <w:t>日印发</w:t>
      </w:r>
    </w:p>
    <w:p w:rsidR="00FD555C" w:rsidRDefault="00FD555C">
      <w:pPr>
        <w:pStyle w:val="5"/>
      </w:pPr>
    </w:p>
    <w:sectPr w:rsidR="00FD555C">
      <w:footerReference w:type="default" r:id="rId8"/>
      <w:pgSz w:w="11906" w:h="16838"/>
      <w:pgMar w:top="1984" w:right="1446" w:bottom="1644" w:left="1446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92" w:rsidRDefault="00B97B92">
      <w:r>
        <w:separator/>
      </w:r>
    </w:p>
  </w:endnote>
  <w:endnote w:type="continuationSeparator" w:id="0">
    <w:p w:rsidR="00B97B92" w:rsidRDefault="00B9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55C" w:rsidRDefault="0072189C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555C" w:rsidRDefault="0072189C">
                          <w:pPr>
                            <w:pStyle w:val="a0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4113B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D555C" w:rsidRDefault="0072189C">
                    <w:pPr>
                      <w:pStyle w:val="a0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54113B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92" w:rsidRDefault="00B97B92">
      <w:r>
        <w:separator/>
      </w:r>
    </w:p>
  </w:footnote>
  <w:footnote w:type="continuationSeparator" w:id="0">
    <w:p w:rsidR="00B97B92" w:rsidRDefault="00B97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OTcxNjAyNWRkOGRmYjY1NGM5ZDBkYjcxN2MwZDAifQ=="/>
  </w:docVars>
  <w:rsids>
    <w:rsidRoot w:val="1D052F51"/>
    <w:rsid w:val="0054113B"/>
    <w:rsid w:val="0072189C"/>
    <w:rsid w:val="00B97B92"/>
    <w:rsid w:val="00C7799E"/>
    <w:rsid w:val="00D36616"/>
    <w:rsid w:val="00FD555C"/>
    <w:rsid w:val="04366D24"/>
    <w:rsid w:val="11E225D5"/>
    <w:rsid w:val="11FC69B0"/>
    <w:rsid w:val="126B4510"/>
    <w:rsid w:val="147E1BBE"/>
    <w:rsid w:val="1824732A"/>
    <w:rsid w:val="1A0C2EC9"/>
    <w:rsid w:val="1D052F51"/>
    <w:rsid w:val="217819E3"/>
    <w:rsid w:val="25780F1B"/>
    <w:rsid w:val="289742A6"/>
    <w:rsid w:val="28C826B1"/>
    <w:rsid w:val="2B932D42"/>
    <w:rsid w:val="2E2C3B9F"/>
    <w:rsid w:val="32DF508C"/>
    <w:rsid w:val="356E1205"/>
    <w:rsid w:val="36694905"/>
    <w:rsid w:val="37741564"/>
    <w:rsid w:val="3B7D133A"/>
    <w:rsid w:val="3BA553AD"/>
    <w:rsid w:val="3E6725EF"/>
    <w:rsid w:val="3FF02F43"/>
    <w:rsid w:val="437234EE"/>
    <w:rsid w:val="43A4589E"/>
    <w:rsid w:val="46BA4EF9"/>
    <w:rsid w:val="487D0EEE"/>
    <w:rsid w:val="4A655635"/>
    <w:rsid w:val="4AB325D1"/>
    <w:rsid w:val="4B033F31"/>
    <w:rsid w:val="4CE64341"/>
    <w:rsid w:val="4E027F1F"/>
    <w:rsid w:val="4E150990"/>
    <w:rsid w:val="4EF3294F"/>
    <w:rsid w:val="52764F69"/>
    <w:rsid w:val="55202DAA"/>
    <w:rsid w:val="566406A9"/>
    <w:rsid w:val="5AD51B1F"/>
    <w:rsid w:val="5C41109D"/>
    <w:rsid w:val="5CEA11C5"/>
    <w:rsid w:val="607D37A6"/>
    <w:rsid w:val="60962C62"/>
    <w:rsid w:val="617456A7"/>
    <w:rsid w:val="64C34C5B"/>
    <w:rsid w:val="6C3A69EF"/>
    <w:rsid w:val="6FBB4B7C"/>
    <w:rsid w:val="70B206B9"/>
    <w:rsid w:val="78433D51"/>
    <w:rsid w:val="79346574"/>
    <w:rsid w:val="7C347CA5"/>
    <w:rsid w:val="7CDB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74C04DE-D65B-4CFE-8342-179A699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uiPriority w:val="99"/>
    <w:unhideWhenUsed/>
    <w:qFormat/>
    <w:pPr>
      <w:ind w:left="1680"/>
    </w:pPr>
    <w:rPr>
      <w:rFonts w:ascii="Calibri" w:eastAsia="宋体" w:hAnsi="Calibri" w:cs="Calibri"/>
      <w:szCs w:val="21"/>
    </w:rPr>
  </w:style>
  <w:style w:type="paragraph" w:styleId="a4">
    <w:name w:val="Body Text"/>
    <w:basedOn w:val="a"/>
    <w:uiPriority w:val="1"/>
    <w:qFormat/>
    <w:rPr>
      <w:rFonts w:ascii="宋体" w:eastAsia="宋体" w:hAnsi="宋体" w:cs="宋体"/>
      <w:sz w:val="32"/>
      <w:szCs w:val="32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k.lexiscn.com/law/law-chinese-1-3980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1899</Characters>
  <Application>Microsoft Office Word</Application>
  <DocSecurity>0</DocSecurity>
  <Lines>15</Lines>
  <Paragraphs>4</Paragraphs>
  <ScaleCrop>false</ScaleCrop>
  <Company>沙区教委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彭明勇</dc:creator>
  <cp:lastModifiedBy>微软用户</cp:lastModifiedBy>
  <cp:revision>4</cp:revision>
  <cp:lastPrinted>2023-07-11T06:24:00Z</cp:lastPrinted>
  <dcterms:created xsi:type="dcterms:W3CDTF">2023-11-14T06:35:00Z</dcterms:created>
  <dcterms:modified xsi:type="dcterms:W3CDTF">2023-11-14T06:36:00Z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6E756A0FC34C40FD837B0D7BE7380008_12</vt:lpwstr>
  </property>
</Properties>
</file>