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szCs w:val="32"/>
        </w:rPr>
      </w:pPr>
    </w:p>
    <w:p>
      <w:pPr>
        <w:widowControl/>
        <w:spacing w:line="560" w:lineRule="exact"/>
        <w:jc w:val="center"/>
        <w:rPr>
          <w:rFonts w:eastAsia="方正小标宋_GBK"/>
          <w:color w:val="333333"/>
          <w:kern w:val="0"/>
          <w:sz w:val="44"/>
          <w:szCs w:val="44"/>
        </w:rPr>
      </w:pPr>
      <w:r>
        <w:rPr>
          <w:rFonts w:eastAsia="方正小标宋_GBK"/>
          <w:color w:val="333333"/>
          <w:kern w:val="0"/>
          <w:sz w:val="44"/>
          <w:szCs w:val="44"/>
        </w:rPr>
        <w:t>沙坪坝区区属国有企业投资参股</w:t>
      </w:r>
    </w:p>
    <w:p>
      <w:pPr>
        <w:widowControl/>
        <w:spacing w:line="560" w:lineRule="exact"/>
        <w:jc w:val="center"/>
        <w:rPr>
          <w:rFonts w:eastAsia="方正小标宋_GBK"/>
          <w:color w:val="333333"/>
          <w:kern w:val="0"/>
          <w:sz w:val="44"/>
          <w:szCs w:val="44"/>
        </w:rPr>
      </w:pPr>
      <w:r>
        <w:rPr>
          <w:rFonts w:eastAsia="方正小标宋_GBK"/>
          <w:color w:val="333333"/>
          <w:kern w:val="0"/>
          <w:sz w:val="44"/>
          <w:szCs w:val="44"/>
        </w:rPr>
        <w:t>管理办法</w:t>
      </w:r>
    </w:p>
    <w:p>
      <w:pPr>
        <w:widowControl/>
        <w:spacing w:line="560" w:lineRule="exact"/>
        <w:jc w:val="center"/>
        <w:rPr>
          <w:color w:val="333333"/>
          <w:kern w:val="0"/>
          <w:szCs w:val="32"/>
        </w:rPr>
      </w:pPr>
    </w:p>
    <w:p>
      <w:pPr>
        <w:spacing w:line="560" w:lineRule="exact"/>
        <w:jc w:val="center"/>
        <w:rPr>
          <w:rFonts w:eastAsia="黑体"/>
          <w:szCs w:val="32"/>
        </w:rPr>
      </w:pPr>
      <w:r>
        <w:rPr>
          <w:rFonts w:eastAsia="黑体"/>
          <w:szCs w:val="32"/>
        </w:rPr>
        <w:t>第一章  总则</w:t>
      </w:r>
    </w:p>
    <w:p>
      <w:pPr>
        <w:widowControl/>
        <w:spacing w:line="560" w:lineRule="exact"/>
        <w:jc w:val="center"/>
        <w:rPr>
          <w:color w:val="333333"/>
          <w:kern w:val="0"/>
          <w:szCs w:val="32"/>
        </w:rPr>
      </w:pPr>
    </w:p>
    <w:p>
      <w:pPr>
        <w:spacing w:line="560" w:lineRule="exact"/>
        <w:ind w:firstLine="640"/>
        <w:rPr>
          <w:color w:val="333333"/>
          <w:kern w:val="0"/>
          <w:szCs w:val="32"/>
        </w:rPr>
      </w:pPr>
      <w:r>
        <w:rPr>
          <w:color w:val="333333"/>
          <w:kern w:val="0"/>
          <w:szCs w:val="32"/>
        </w:rPr>
        <w:t>第一条  为依法履行国有资产出资人职责，规范区属国有企业投资参股行为的监督管理，提高企业投资决策的合理性、科学性和有效性，切实防范投资风险，确保国有资产保值增值。根据《公司法》《企业国有资产法》《企业国有资产监督管理暂行条例》等有关法律法规，结合我区实际，制定本办法。</w:t>
      </w:r>
    </w:p>
    <w:p>
      <w:pPr>
        <w:spacing w:line="560" w:lineRule="exact"/>
        <w:ind w:firstLine="640"/>
        <w:rPr>
          <w:color w:val="333333"/>
          <w:kern w:val="0"/>
          <w:szCs w:val="32"/>
        </w:rPr>
      </w:pPr>
      <w:r>
        <w:rPr>
          <w:color w:val="333333"/>
          <w:kern w:val="0"/>
          <w:szCs w:val="32"/>
        </w:rPr>
        <w:t>第二条  本办法适用于区国资委作为出资人的区属国有企业（以下简称国有企业）。</w:t>
      </w:r>
    </w:p>
    <w:p>
      <w:pPr>
        <w:spacing w:line="560" w:lineRule="exact"/>
        <w:ind w:firstLine="640"/>
        <w:rPr>
          <w:szCs w:val="32"/>
        </w:rPr>
      </w:pPr>
      <w:r>
        <w:rPr>
          <w:color w:val="333333"/>
          <w:kern w:val="0"/>
          <w:szCs w:val="32"/>
        </w:rPr>
        <w:t xml:space="preserve">第三条  </w:t>
      </w:r>
      <w:r>
        <w:rPr>
          <w:szCs w:val="32"/>
        </w:rPr>
        <w:t>本办法所称投资参股包括国有企业在境内从事的股权投资比例不超过50%且不具有实际控制权的投资行为。</w:t>
      </w:r>
    </w:p>
    <w:p>
      <w:pPr>
        <w:spacing w:line="560" w:lineRule="exact"/>
        <w:ind w:firstLine="660"/>
        <w:rPr>
          <w:szCs w:val="32"/>
        </w:rPr>
      </w:pPr>
      <w:r>
        <w:rPr>
          <w:szCs w:val="32"/>
        </w:rPr>
        <w:t>第四条  国有企业按照所持股权比例，依法履行参股公司股东职责。</w:t>
      </w:r>
    </w:p>
    <w:p>
      <w:pPr>
        <w:spacing w:line="560" w:lineRule="exact"/>
        <w:ind w:firstLine="660"/>
        <w:rPr>
          <w:szCs w:val="32"/>
        </w:rPr>
      </w:pPr>
      <w:r>
        <w:rPr>
          <w:szCs w:val="32"/>
        </w:rPr>
        <w:t>第五条  国有企业对其投资参股公司的管理坚持以法律法规、公司章程及股东协议为依据，在不干涉国有参股公司日常经营的前提下，维护国有股东权利，确保国有股东权益不受侵害。</w:t>
      </w:r>
    </w:p>
    <w:p>
      <w:pPr>
        <w:spacing w:line="560" w:lineRule="exact"/>
        <w:ind w:firstLine="632" w:firstLineChars="200"/>
        <w:rPr>
          <w:color w:val="333333"/>
          <w:kern w:val="0"/>
          <w:szCs w:val="32"/>
        </w:rPr>
      </w:pPr>
      <w:r>
        <w:rPr>
          <w:color w:val="333333"/>
          <w:kern w:val="0"/>
          <w:szCs w:val="32"/>
        </w:rPr>
        <w:t>第六条  国有企业投资参股应当遵循以下原则：</w:t>
      </w:r>
    </w:p>
    <w:p>
      <w:pPr>
        <w:spacing w:line="560" w:lineRule="exact"/>
        <w:ind w:firstLine="632" w:firstLineChars="200"/>
        <w:rPr>
          <w:color w:val="333333"/>
          <w:kern w:val="0"/>
          <w:szCs w:val="32"/>
        </w:rPr>
      </w:pPr>
      <w:r>
        <w:rPr>
          <w:color w:val="333333"/>
          <w:kern w:val="0"/>
          <w:szCs w:val="32"/>
        </w:rPr>
        <w:t>（一）符合国资布局和结构调整方向；</w:t>
      </w:r>
    </w:p>
    <w:p>
      <w:pPr>
        <w:spacing w:line="560" w:lineRule="exact"/>
        <w:ind w:firstLine="632" w:firstLineChars="200"/>
        <w:rPr>
          <w:color w:val="333333"/>
          <w:kern w:val="0"/>
          <w:szCs w:val="32"/>
        </w:rPr>
      </w:pPr>
      <w:r>
        <w:rPr>
          <w:color w:val="333333"/>
          <w:kern w:val="0"/>
          <w:szCs w:val="32"/>
        </w:rPr>
        <w:t>（二）突出主业，符合企业发展战略和规划，有利于提高企业核心竞争力；</w:t>
      </w:r>
    </w:p>
    <w:p>
      <w:pPr>
        <w:spacing w:line="560" w:lineRule="exact"/>
        <w:ind w:firstLine="640"/>
        <w:rPr>
          <w:color w:val="333333"/>
          <w:kern w:val="0"/>
          <w:szCs w:val="32"/>
        </w:rPr>
      </w:pPr>
      <w:r>
        <w:rPr>
          <w:color w:val="333333"/>
          <w:kern w:val="0"/>
          <w:szCs w:val="32"/>
        </w:rPr>
        <w:t>（三）符合国有企业投资参股决策程序和管理制度；</w:t>
      </w:r>
    </w:p>
    <w:p>
      <w:pPr>
        <w:spacing w:line="560" w:lineRule="exact"/>
        <w:ind w:firstLine="640"/>
        <w:rPr>
          <w:color w:val="333333"/>
          <w:kern w:val="0"/>
          <w:szCs w:val="32"/>
        </w:rPr>
      </w:pPr>
      <w:r>
        <w:rPr>
          <w:color w:val="333333"/>
          <w:kern w:val="0"/>
          <w:szCs w:val="32"/>
        </w:rPr>
        <w:t>（四）投资参股规模应当与国有企业资产经营规模、资产负债水平和实际筹资能力相适应。</w:t>
      </w:r>
    </w:p>
    <w:p>
      <w:pPr>
        <w:spacing w:line="560" w:lineRule="exact"/>
        <w:ind w:firstLine="640"/>
        <w:rPr>
          <w:color w:val="333333"/>
          <w:kern w:val="0"/>
          <w:szCs w:val="32"/>
        </w:rPr>
      </w:pPr>
      <w:r>
        <w:rPr>
          <w:color w:val="333333"/>
          <w:kern w:val="0"/>
          <w:szCs w:val="32"/>
        </w:rPr>
        <w:t>（五）充分进行科学论证，预期投资收益原则上不低于五年期国债利率。</w:t>
      </w:r>
    </w:p>
    <w:p>
      <w:pPr>
        <w:spacing w:line="560" w:lineRule="exact"/>
        <w:ind w:firstLine="632" w:firstLineChars="200"/>
        <w:rPr>
          <w:color w:val="333333"/>
          <w:kern w:val="0"/>
          <w:szCs w:val="32"/>
        </w:rPr>
      </w:pPr>
      <w:r>
        <w:rPr>
          <w:color w:val="333333"/>
          <w:kern w:val="0"/>
          <w:szCs w:val="32"/>
        </w:rPr>
        <w:t>第七条  国有企业应根据本办法，结合本企业实际，建立健全投资参股管理制度，经内部决策程序审议通过后报送区国资委备案。 企业投资参股管理制度应包括以下主要内容：</w:t>
      </w:r>
    </w:p>
    <w:p>
      <w:pPr>
        <w:spacing w:line="560" w:lineRule="exact"/>
        <w:ind w:firstLine="640"/>
        <w:rPr>
          <w:color w:val="333333"/>
          <w:kern w:val="0"/>
          <w:szCs w:val="32"/>
        </w:rPr>
      </w:pPr>
      <w:r>
        <w:rPr>
          <w:color w:val="333333"/>
          <w:kern w:val="0"/>
          <w:szCs w:val="32"/>
        </w:rPr>
        <w:t>（一）投资参股管理流程、管理部门及相关职责；</w:t>
      </w:r>
    </w:p>
    <w:p>
      <w:pPr>
        <w:spacing w:line="560" w:lineRule="exact"/>
        <w:ind w:firstLine="640"/>
        <w:rPr>
          <w:color w:val="333333"/>
          <w:kern w:val="0"/>
          <w:szCs w:val="32"/>
        </w:rPr>
      </w:pPr>
      <w:r>
        <w:rPr>
          <w:color w:val="333333"/>
          <w:kern w:val="0"/>
          <w:szCs w:val="32"/>
        </w:rPr>
        <w:t>（二）投资参股决策程序、决策机构及其职责；</w:t>
      </w:r>
    </w:p>
    <w:p>
      <w:pPr>
        <w:spacing w:line="560" w:lineRule="exact"/>
        <w:ind w:firstLine="640"/>
        <w:rPr>
          <w:color w:val="333333"/>
          <w:kern w:val="0"/>
          <w:szCs w:val="32"/>
        </w:rPr>
      </w:pPr>
      <w:r>
        <w:rPr>
          <w:color w:val="333333"/>
          <w:kern w:val="0"/>
          <w:szCs w:val="32"/>
        </w:rPr>
        <w:t>（三）投资参股风险管控制度；</w:t>
      </w:r>
    </w:p>
    <w:p>
      <w:pPr>
        <w:spacing w:line="560" w:lineRule="exact"/>
        <w:ind w:firstLine="640"/>
        <w:rPr>
          <w:color w:val="333333"/>
          <w:kern w:val="0"/>
          <w:szCs w:val="32"/>
        </w:rPr>
      </w:pPr>
      <w:r>
        <w:rPr>
          <w:color w:val="333333"/>
          <w:kern w:val="0"/>
          <w:szCs w:val="32"/>
        </w:rPr>
        <w:t>（四）投资参股项目完成、中止、终止或退出制度；</w:t>
      </w:r>
    </w:p>
    <w:p>
      <w:pPr>
        <w:spacing w:line="560" w:lineRule="exact"/>
        <w:ind w:firstLine="640"/>
        <w:rPr>
          <w:color w:val="333333"/>
          <w:kern w:val="0"/>
          <w:szCs w:val="32"/>
        </w:rPr>
      </w:pPr>
      <w:r>
        <w:rPr>
          <w:color w:val="333333"/>
          <w:kern w:val="0"/>
          <w:szCs w:val="32"/>
        </w:rPr>
        <w:t>（五）违规投资参股责任追究制度；</w:t>
      </w:r>
    </w:p>
    <w:p>
      <w:pPr>
        <w:spacing w:line="560" w:lineRule="exact"/>
        <w:ind w:firstLine="640"/>
        <w:rPr>
          <w:szCs w:val="32"/>
        </w:rPr>
      </w:pPr>
      <w:r>
        <w:rPr>
          <w:color w:val="333333"/>
          <w:kern w:val="0"/>
          <w:szCs w:val="32"/>
        </w:rPr>
        <w:t>（六）对所属企业投资参股活动的管理制度；</w:t>
      </w:r>
    </w:p>
    <w:p>
      <w:pPr>
        <w:spacing w:line="560" w:lineRule="exact"/>
        <w:jc w:val="center"/>
        <w:rPr>
          <w:rFonts w:eastAsia="黑体"/>
          <w:szCs w:val="32"/>
        </w:rPr>
      </w:pPr>
    </w:p>
    <w:p>
      <w:pPr>
        <w:spacing w:line="560" w:lineRule="exact"/>
        <w:jc w:val="center"/>
        <w:rPr>
          <w:rFonts w:eastAsia="黑体"/>
          <w:szCs w:val="32"/>
        </w:rPr>
      </w:pPr>
      <w:r>
        <w:rPr>
          <w:rFonts w:eastAsia="黑体"/>
          <w:szCs w:val="32"/>
        </w:rPr>
        <w:t>第二章  职能职责</w:t>
      </w:r>
    </w:p>
    <w:p>
      <w:pPr>
        <w:spacing w:line="560" w:lineRule="exact"/>
        <w:ind w:firstLine="640"/>
        <w:rPr>
          <w:color w:val="333333"/>
          <w:kern w:val="0"/>
          <w:szCs w:val="32"/>
        </w:rPr>
      </w:pPr>
    </w:p>
    <w:p>
      <w:pPr>
        <w:spacing w:line="560" w:lineRule="exact"/>
        <w:ind w:firstLine="640"/>
        <w:rPr>
          <w:color w:val="333333"/>
          <w:kern w:val="0"/>
          <w:szCs w:val="32"/>
        </w:rPr>
      </w:pPr>
      <w:r>
        <w:rPr>
          <w:color w:val="333333"/>
          <w:kern w:val="0"/>
          <w:szCs w:val="32"/>
        </w:rPr>
        <w:t>第八条  区国资委作为出资人负责对国有企业投资参股活动进行监督管理。主要职责是：</w:t>
      </w:r>
    </w:p>
    <w:p>
      <w:pPr>
        <w:spacing w:line="560" w:lineRule="exact"/>
        <w:ind w:firstLine="640"/>
        <w:rPr>
          <w:color w:val="333333"/>
          <w:kern w:val="0"/>
          <w:szCs w:val="32"/>
        </w:rPr>
      </w:pPr>
      <w:r>
        <w:rPr>
          <w:color w:val="333333"/>
          <w:kern w:val="0"/>
          <w:szCs w:val="32"/>
        </w:rPr>
        <w:t>（一）督促指导国有企业建立健全投资参股决策程序和管理制度，监督检查企业投资参股管理制度的执行情况；</w:t>
      </w:r>
    </w:p>
    <w:p>
      <w:pPr>
        <w:spacing w:line="560" w:lineRule="exact"/>
        <w:ind w:firstLine="640"/>
        <w:rPr>
          <w:color w:val="333333"/>
          <w:kern w:val="0"/>
          <w:szCs w:val="32"/>
        </w:rPr>
      </w:pPr>
      <w:r>
        <w:rPr>
          <w:color w:val="333333"/>
          <w:kern w:val="0"/>
          <w:szCs w:val="32"/>
        </w:rPr>
        <w:t>（二）汇总统计、监督检查国有企业投资参股计划和完成情况；</w:t>
      </w:r>
    </w:p>
    <w:p>
      <w:pPr>
        <w:spacing w:line="560" w:lineRule="exact"/>
        <w:ind w:firstLine="640"/>
        <w:rPr>
          <w:color w:val="333333"/>
          <w:kern w:val="0"/>
          <w:szCs w:val="32"/>
        </w:rPr>
      </w:pPr>
      <w:r>
        <w:rPr>
          <w:color w:val="333333"/>
          <w:kern w:val="0"/>
          <w:szCs w:val="32"/>
        </w:rPr>
        <w:t>（三）对国有企业投资参股事项进行审查备案；</w:t>
      </w:r>
    </w:p>
    <w:p>
      <w:pPr>
        <w:spacing w:line="560" w:lineRule="exact"/>
        <w:ind w:firstLine="640"/>
        <w:rPr>
          <w:color w:val="333333"/>
          <w:kern w:val="0"/>
          <w:szCs w:val="32"/>
        </w:rPr>
      </w:pPr>
      <w:r>
        <w:rPr>
          <w:color w:val="333333"/>
          <w:kern w:val="0"/>
          <w:szCs w:val="32"/>
        </w:rPr>
        <w:t>（四）对违规投资参股造成国有资产重大损失以及其他严重不良后果的进行责任追究；</w:t>
      </w:r>
    </w:p>
    <w:p>
      <w:pPr>
        <w:spacing w:line="560" w:lineRule="exact"/>
        <w:ind w:firstLine="640"/>
        <w:rPr>
          <w:color w:val="333333"/>
          <w:kern w:val="0"/>
          <w:szCs w:val="32"/>
        </w:rPr>
      </w:pPr>
      <w:r>
        <w:rPr>
          <w:color w:val="333333"/>
          <w:kern w:val="0"/>
          <w:szCs w:val="32"/>
        </w:rPr>
        <w:t>（五）法律规定和区政府授权的其他职责。</w:t>
      </w:r>
    </w:p>
    <w:p>
      <w:pPr>
        <w:spacing w:line="560" w:lineRule="exact"/>
        <w:ind w:firstLine="640"/>
        <w:rPr>
          <w:color w:val="333333"/>
          <w:kern w:val="0"/>
          <w:szCs w:val="32"/>
        </w:rPr>
      </w:pPr>
      <w:r>
        <w:rPr>
          <w:color w:val="333333"/>
          <w:kern w:val="0"/>
          <w:szCs w:val="32"/>
        </w:rPr>
        <w:t>第九条  国有企业作为投资参股活动的决策主体、执行主体和责任主体，对投资参股项目应按企业内部决策程序自主决策、自担风险、自负盈亏，主要职责是：</w:t>
      </w:r>
    </w:p>
    <w:p>
      <w:pPr>
        <w:spacing w:line="560" w:lineRule="exact"/>
        <w:ind w:firstLine="640"/>
        <w:rPr>
          <w:color w:val="333333"/>
          <w:kern w:val="0"/>
          <w:szCs w:val="32"/>
        </w:rPr>
      </w:pPr>
      <w:r>
        <w:rPr>
          <w:color w:val="333333"/>
          <w:kern w:val="0"/>
          <w:szCs w:val="32"/>
        </w:rPr>
        <w:t>（一）按照国家有关法律、法规和有关政策开展投资参股活动，并按程序报批；</w:t>
      </w:r>
    </w:p>
    <w:p>
      <w:pPr>
        <w:spacing w:line="560" w:lineRule="exact"/>
        <w:ind w:firstLine="640"/>
        <w:rPr>
          <w:color w:val="333333"/>
          <w:kern w:val="0"/>
          <w:szCs w:val="32"/>
        </w:rPr>
      </w:pPr>
      <w:r>
        <w:rPr>
          <w:color w:val="333333"/>
          <w:kern w:val="0"/>
          <w:szCs w:val="32"/>
        </w:rPr>
        <w:t>（二）建立健全企业投资参股管理制度和风险防控机制；</w:t>
      </w:r>
    </w:p>
    <w:p>
      <w:pPr>
        <w:spacing w:line="560" w:lineRule="exact"/>
        <w:ind w:firstLine="640"/>
        <w:rPr>
          <w:color w:val="333333"/>
          <w:kern w:val="0"/>
          <w:szCs w:val="32"/>
        </w:rPr>
      </w:pPr>
      <w:r>
        <w:rPr>
          <w:color w:val="333333"/>
          <w:kern w:val="0"/>
          <w:szCs w:val="32"/>
        </w:rPr>
        <w:t>（三）负责投资参股项目的可行性研究、投资决策、风险控制、投后管理、投资评价、投资退出等；</w:t>
      </w:r>
    </w:p>
    <w:p>
      <w:pPr>
        <w:spacing w:line="560" w:lineRule="exact"/>
        <w:ind w:firstLine="640"/>
        <w:rPr>
          <w:color w:val="333333"/>
          <w:kern w:val="0"/>
          <w:szCs w:val="32"/>
        </w:rPr>
      </w:pPr>
      <w:r>
        <w:rPr>
          <w:color w:val="333333"/>
          <w:kern w:val="0"/>
          <w:szCs w:val="32"/>
        </w:rPr>
        <w:t>（四）向区国资委报送国有企业年度投资参股计划、投后评价报告以及有关投资参股公司财务报告和重大事项备案等资料；</w:t>
      </w:r>
    </w:p>
    <w:p>
      <w:pPr>
        <w:spacing w:line="560" w:lineRule="exact"/>
        <w:ind w:firstLine="640"/>
        <w:rPr>
          <w:kern w:val="0"/>
          <w:szCs w:val="32"/>
        </w:rPr>
      </w:pPr>
      <w:r>
        <w:rPr>
          <w:kern w:val="0"/>
          <w:szCs w:val="32"/>
        </w:rPr>
        <w:t>（五）负责对所属企业投资参股活动进行经营财务管理；</w:t>
      </w:r>
    </w:p>
    <w:p>
      <w:pPr>
        <w:spacing w:line="560" w:lineRule="exact"/>
        <w:ind w:firstLine="632" w:firstLineChars="200"/>
        <w:rPr>
          <w:color w:val="333333"/>
          <w:kern w:val="0"/>
          <w:szCs w:val="32"/>
        </w:rPr>
      </w:pPr>
      <w:r>
        <w:rPr>
          <w:color w:val="333333"/>
          <w:kern w:val="0"/>
          <w:szCs w:val="32"/>
        </w:rPr>
        <w:t>（六）法律法规规定的其他职责。</w:t>
      </w:r>
    </w:p>
    <w:p>
      <w:pPr>
        <w:spacing w:line="560" w:lineRule="exact"/>
        <w:ind w:firstLine="640"/>
        <w:rPr>
          <w:color w:val="333333"/>
          <w:kern w:val="0"/>
          <w:szCs w:val="32"/>
        </w:rPr>
      </w:pPr>
      <w:r>
        <w:rPr>
          <w:color w:val="333333"/>
          <w:kern w:val="0"/>
          <w:szCs w:val="32"/>
        </w:rPr>
        <w:t>第十条  国有企业监事会负责对企业执行本办法的情况进行监督检查，并向区国资委报告有关情况。</w:t>
      </w:r>
    </w:p>
    <w:p>
      <w:pPr>
        <w:spacing w:line="560" w:lineRule="exact"/>
        <w:ind w:firstLine="640"/>
        <w:rPr>
          <w:color w:val="333333"/>
          <w:kern w:val="0"/>
          <w:szCs w:val="32"/>
        </w:rPr>
      </w:pPr>
    </w:p>
    <w:p>
      <w:pPr>
        <w:spacing w:line="560" w:lineRule="exact"/>
        <w:jc w:val="center"/>
        <w:rPr>
          <w:rFonts w:eastAsia="黑体"/>
          <w:szCs w:val="32"/>
        </w:rPr>
      </w:pPr>
      <w:r>
        <w:rPr>
          <w:rFonts w:eastAsia="黑体"/>
          <w:szCs w:val="32"/>
        </w:rPr>
        <w:t>第三章 投资计划管理</w:t>
      </w:r>
    </w:p>
    <w:p>
      <w:pPr>
        <w:spacing w:line="560" w:lineRule="exact"/>
        <w:jc w:val="center"/>
        <w:rPr>
          <w:rFonts w:eastAsia="黑体"/>
          <w:szCs w:val="32"/>
        </w:rPr>
      </w:pPr>
    </w:p>
    <w:p>
      <w:pPr>
        <w:spacing w:line="560" w:lineRule="exact"/>
        <w:ind w:firstLine="632" w:firstLineChars="200"/>
        <w:rPr>
          <w:color w:val="333333"/>
          <w:kern w:val="0"/>
          <w:szCs w:val="32"/>
        </w:rPr>
      </w:pPr>
      <w:r>
        <w:rPr>
          <w:color w:val="333333"/>
          <w:kern w:val="0"/>
          <w:szCs w:val="32"/>
        </w:rPr>
        <w:t>第十一条  国有企业应当根据发展战略和规划编制年度投资参股计划，年度投资参股计划主要包括以下内容：</w:t>
      </w:r>
    </w:p>
    <w:p>
      <w:pPr>
        <w:spacing w:line="560" w:lineRule="exact"/>
        <w:ind w:firstLine="640"/>
        <w:rPr>
          <w:color w:val="333333"/>
          <w:kern w:val="0"/>
          <w:szCs w:val="32"/>
        </w:rPr>
      </w:pPr>
      <w:r>
        <w:rPr>
          <w:color w:val="333333"/>
          <w:kern w:val="0"/>
          <w:szCs w:val="32"/>
        </w:rPr>
        <w:t xml:space="preserve"> （一）投资参股的主要方向、目的；</w:t>
      </w:r>
    </w:p>
    <w:p>
      <w:pPr>
        <w:spacing w:line="560" w:lineRule="exact"/>
        <w:ind w:firstLine="790" w:firstLineChars="250"/>
        <w:rPr>
          <w:color w:val="333333"/>
          <w:kern w:val="0"/>
          <w:szCs w:val="32"/>
        </w:rPr>
      </w:pPr>
      <w:r>
        <w:rPr>
          <w:color w:val="333333"/>
          <w:kern w:val="0"/>
          <w:szCs w:val="32"/>
        </w:rPr>
        <w:t>（二）投资参股的规模及资产负债率水平；</w:t>
      </w:r>
    </w:p>
    <w:p>
      <w:pPr>
        <w:spacing w:line="560" w:lineRule="exact"/>
        <w:ind w:firstLine="790" w:firstLineChars="250"/>
        <w:rPr>
          <w:color w:val="333333"/>
          <w:kern w:val="0"/>
          <w:szCs w:val="32"/>
        </w:rPr>
      </w:pPr>
      <w:r>
        <w:rPr>
          <w:color w:val="333333"/>
          <w:kern w:val="0"/>
          <w:szCs w:val="32"/>
        </w:rPr>
        <w:t>（三）投资参股金额、资金来源与结构分析；</w:t>
      </w:r>
    </w:p>
    <w:p>
      <w:pPr>
        <w:spacing w:line="560" w:lineRule="exact"/>
        <w:ind w:firstLine="790" w:firstLineChars="250"/>
        <w:rPr>
          <w:color w:val="333333"/>
          <w:kern w:val="0"/>
          <w:szCs w:val="32"/>
        </w:rPr>
      </w:pPr>
      <w:r>
        <w:rPr>
          <w:color w:val="333333"/>
          <w:kern w:val="0"/>
          <w:szCs w:val="32"/>
        </w:rPr>
        <w:t>（四）投资参股预期收益、实施年限等。</w:t>
      </w:r>
    </w:p>
    <w:p>
      <w:pPr>
        <w:spacing w:line="560" w:lineRule="exact"/>
        <w:ind w:firstLine="632" w:firstLineChars="200"/>
        <w:rPr>
          <w:color w:val="333333"/>
          <w:kern w:val="0"/>
          <w:szCs w:val="32"/>
        </w:rPr>
      </w:pPr>
      <w:r>
        <w:rPr>
          <w:color w:val="333333"/>
          <w:kern w:val="0"/>
          <w:szCs w:val="32"/>
        </w:rPr>
        <w:t>国有企业年度投资参股计划中的项目应包括国有企业及下属合并会计报表范围内企业的投资项目。</w:t>
      </w:r>
    </w:p>
    <w:p>
      <w:pPr>
        <w:spacing w:line="560" w:lineRule="exact"/>
        <w:ind w:firstLine="632" w:firstLineChars="200"/>
        <w:rPr>
          <w:color w:val="333333"/>
          <w:kern w:val="0"/>
          <w:szCs w:val="32"/>
        </w:rPr>
      </w:pPr>
      <w:r>
        <w:rPr>
          <w:color w:val="333333"/>
          <w:kern w:val="0"/>
          <w:szCs w:val="32"/>
        </w:rPr>
        <w:t>第十二条  国有企业应严格执行年度投资参股计划。国有企业因重大投资参股项目需对年度投资参股计划进行追加调整的，应当重新履行内部决策程序，并将调整后的年度投资参股计划重新报送区国资委备案。</w:t>
      </w:r>
    </w:p>
    <w:p>
      <w:pPr>
        <w:spacing w:line="560" w:lineRule="exact"/>
        <w:ind w:firstLine="632" w:firstLineChars="200"/>
        <w:rPr>
          <w:color w:val="333333"/>
          <w:kern w:val="0"/>
          <w:szCs w:val="32"/>
        </w:rPr>
      </w:pPr>
    </w:p>
    <w:p>
      <w:pPr>
        <w:spacing w:line="560" w:lineRule="exact"/>
        <w:jc w:val="center"/>
        <w:rPr>
          <w:rFonts w:eastAsia="黑体"/>
          <w:szCs w:val="32"/>
        </w:rPr>
      </w:pPr>
      <w:r>
        <w:rPr>
          <w:rFonts w:eastAsia="黑体"/>
          <w:szCs w:val="32"/>
        </w:rPr>
        <w:t>第四章  经营财务管理</w:t>
      </w:r>
    </w:p>
    <w:p>
      <w:pPr>
        <w:spacing w:line="560" w:lineRule="exact"/>
        <w:jc w:val="center"/>
        <w:rPr>
          <w:rFonts w:eastAsia="黑体"/>
          <w:szCs w:val="32"/>
        </w:rPr>
      </w:pPr>
    </w:p>
    <w:p>
      <w:pPr>
        <w:spacing w:line="560" w:lineRule="exact"/>
        <w:ind w:firstLine="660"/>
        <w:rPr>
          <w:szCs w:val="32"/>
        </w:rPr>
      </w:pPr>
      <w:r>
        <w:rPr>
          <w:szCs w:val="32"/>
        </w:rPr>
        <w:t>第十三条  国有企业应将投资参股公司月度财务报表（于月度结束后20日内）、季度财务报告（于季度结束后20日内）、经审计的年度财务报告和次年度财务预算报告（于年度结束后4个月内）报区国资委备案。</w:t>
      </w:r>
    </w:p>
    <w:p>
      <w:pPr>
        <w:spacing w:line="560" w:lineRule="exact"/>
        <w:ind w:firstLine="660"/>
        <w:rPr>
          <w:szCs w:val="32"/>
        </w:rPr>
      </w:pPr>
      <w:r>
        <w:rPr>
          <w:szCs w:val="32"/>
        </w:rPr>
        <w:t>第十四条  国有企业依法享有所投资参股公司利润分配权，按照实缴的出资比例分取红利。红利按照相关规定上缴国有资本经营收益。</w:t>
      </w:r>
    </w:p>
    <w:p>
      <w:pPr>
        <w:spacing w:line="560" w:lineRule="exact"/>
        <w:ind w:firstLine="632" w:firstLineChars="200"/>
        <w:rPr>
          <w:szCs w:val="32"/>
        </w:rPr>
      </w:pPr>
      <w:r>
        <w:rPr>
          <w:szCs w:val="32"/>
        </w:rPr>
        <w:t>第十五条  国有企业原则上不得为其持股的投资参股公司提供融资贷款和担保，因特殊情况需要提供融资担保的，应按程序报批，且应按照国有企业在其投资参股公司中所占的股权比例提供担保，即以被担保人的担保贷款总量与股权比例的乘数为最高担保限额。</w:t>
      </w:r>
    </w:p>
    <w:p>
      <w:pPr>
        <w:spacing w:line="560" w:lineRule="exact"/>
        <w:ind w:firstLine="632" w:firstLineChars="200"/>
        <w:jc w:val="left"/>
        <w:rPr>
          <w:szCs w:val="32"/>
        </w:rPr>
      </w:pPr>
      <w:r>
        <w:rPr>
          <w:szCs w:val="32"/>
        </w:rPr>
        <w:t xml:space="preserve">第十六条 </w:t>
      </w:r>
      <w:r>
        <w:rPr>
          <w:color w:val="FF0000"/>
          <w:szCs w:val="32"/>
        </w:rPr>
        <w:t> </w:t>
      </w:r>
      <w:r>
        <w:rPr>
          <w:szCs w:val="32"/>
        </w:rPr>
        <w:t>国有企业负责投资参股公司日常运营情况、预算执行情况、对外投融资情况的跟踪管理，并应逐个建立参股公司的投资业务档案，加强对投资参股公司整体运作情况的跟踪管理和监督。</w:t>
      </w:r>
    </w:p>
    <w:p>
      <w:pPr>
        <w:spacing w:line="560" w:lineRule="exact"/>
        <w:ind w:firstLine="660"/>
        <w:rPr>
          <w:szCs w:val="32"/>
        </w:rPr>
      </w:pPr>
      <w:r>
        <w:rPr>
          <w:szCs w:val="32"/>
        </w:rPr>
        <w:t>第十七条  投资参股公司发生下列重大事项，国有企业应报区国资委备案：</w:t>
      </w:r>
    </w:p>
    <w:p>
      <w:pPr>
        <w:spacing w:line="560" w:lineRule="exact"/>
        <w:ind w:firstLine="660"/>
        <w:rPr>
          <w:szCs w:val="32"/>
        </w:rPr>
      </w:pPr>
      <w:r>
        <w:rPr>
          <w:szCs w:val="32"/>
        </w:rPr>
        <w:t>（一）投资参股公司分立、合并、增加或减少注册资本、改制、重组并购、破产、解散、清算、发行公司债券、增发新股、上市、变更注册地址等重大事项；</w:t>
      </w:r>
    </w:p>
    <w:p>
      <w:pPr>
        <w:spacing w:line="560" w:lineRule="exact"/>
        <w:ind w:firstLine="660"/>
        <w:rPr>
          <w:szCs w:val="32"/>
        </w:rPr>
      </w:pPr>
      <w:r>
        <w:rPr>
          <w:szCs w:val="32"/>
        </w:rPr>
        <w:t>（二）投资参股公司年度财务预算和决算方案、利润分配方案、弥补亏损方案和实施股权（份）激励方案；</w:t>
      </w:r>
    </w:p>
    <w:p>
      <w:pPr>
        <w:spacing w:line="560" w:lineRule="exact"/>
        <w:ind w:firstLine="660"/>
        <w:rPr>
          <w:szCs w:val="32"/>
        </w:rPr>
      </w:pPr>
      <w:r>
        <w:rPr>
          <w:szCs w:val="32"/>
        </w:rPr>
        <w:t>（三）根据公司章程规定，由投资参股公司股东（大）会作出决议的对外投资、担保、转让或者受让重大资产、转让重要子公司股权（份）等事项；</w:t>
      </w:r>
    </w:p>
    <w:p>
      <w:pPr>
        <w:spacing w:line="560" w:lineRule="exact"/>
        <w:ind w:firstLine="660"/>
        <w:rPr>
          <w:szCs w:val="32"/>
        </w:rPr>
      </w:pPr>
      <w:r>
        <w:rPr>
          <w:szCs w:val="32"/>
        </w:rPr>
        <w:t>（四）投资参股公司是有限责任公司，其他股东转让本公司股权的；</w:t>
      </w:r>
    </w:p>
    <w:p>
      <w:pPr>
        <w:spacing w:line="560" w:lineRule="exact"/>
        <w:ind w:firstLine="660"/>
        <w:rPr>
          <w:szCs w:val="32"/>
        </w:rPr>
      </w:pPr>
      <w:r>
        <w:rPr>
          <w:szCs w:val="32"/>
        </w:rPr>
        <w:t>（五）投资参股公司变更主营业务（含与公司主营业务相关的各种资质的转移）、转让核心技术和著名品牌；</w:t>
      </w:r>
    </w:p>
    <w:p>
      <w:pPr>
        <w:spacing w:line="560" w:lineRule="exact"/>
        <w:ind w:firstLine="660"/>
        <w:rPr>
          <w:szCs w:val="32"/>
        </w:rPr>
      </w:pPr>
      <w:r>
        <w:rPr>
          <w:szCs w:val="32"/>
        </w:rPr>
        <w:t>（六）投资参股公司从事证券、期货及其他金融衍生产品等高风险业务；</w:t>
      </w:r>
    </w:p>
    <w:p>
      <w:pPr>
        <w:spacing w:line="560" w:lineRule="exact"/>
        <w:ind w:firstLine="660"/>
        <w:rPr>
          <w:szCs w:val="32"/>
        </w:rPr>
      </w:pPr>
      <w:r>
        <w:rPr>
          <w:szCs w:val="32"/>
        </w:rPr>
        <w:t>（七）投资参股公司发生重大法律诉讼、重大安全生产事故、董事、监事、高级管理人员涉嫌经济违法或刑事犯罪以及其他对国有股东可能产生较大影响，造成企业国有资产流失的事项；</w:t>
      </w:r>
    </w:p>
    <w:p>
      <w:pPr>
        <w:spacing w:line="560" w:lineRule="exact"/>
        <w:ind w:firstLine="660"/>
        <w:rPr>
          <w:szCs w:val="32"/>
        </w:rPr>
      </w:pPr>
      <w:r>
        <w:rPr>
          <w:szCs w:val="32"/>
        </w:rPr>
        <w:t>（八）需要报告的其他事项。</w:t>
      </w:r>
    </w:p>
    <w:p>
      <w:pPr>
        <w:spacing w:line="560" w:lineRule="exact"/>
        <w:ind w:firstLine="660"/>
        <w:rPr>
          <w:szCs w:val="32"/>
        </w:rPr>
      </w:pPr>
    </w:p>
    <w:p>
      <w:pPr>
        <w:spacing w:line="560" w:lineRule="exact"/>
        <w:jc w:val="center"/>
        <w:rPr>
          <w:rFonts w:eastAsia="黑体"/>
          <w:szCs w:val="32"/>
        </w:rPr>
      </w:pPr>
      <w:r>
        <w:rPr>
          <w:rFonts w:eastAsia="黑体"/>
          <w:szCs w:val="32"/>
        </w:rPr>
        <w:t>第五章  股权代表管理</w:t>
      </w:r>
    </w:p>
    <w:p>
      <w:pPr>
        <w:spacing w:line="560" w:lineRule="exact"/>
        <w:jc w:val="center"/>
        <w:rPr>
          <w:rFonts w:eastAsia="黑体"/>
          <w:szCs w:val="32"/>
        </w:rPr>
      </w:pPr>
    </w:p>
    <w:p>
      <w:pPr>
        <w:spacing w:line="560" w:lineRule="exact"/>
        <w:ind w:firstLine="660"/>
        <w:rPr>
          <w:szCs w:val="32"/>
        </w:rPr>
      </w:pPr>
      <w:r>
        <w:rPr>
          <w:szCs w:val="32"/>
        </w:rPr>
        <w:t xml:space="preserve">第十八条 </w:t>
      </w:r>
      <w:r>
        <w:rPr>
          <w:color w:val="333333"/>
          <w:kern w:val="0"/>
          <w:szCs w:val="32"/>
        </w:rPr>
        <w:t xml:space="preserve"> 国有企业应当按出资比例委派董事会、监事会成员以及经营管理人员（包括但不限于总经理、副总经理、财务总监）作为投资参股公司的国有股权代表，行使股东权利，参与其经营决策，保障国有企业利益。国有股权代表系国有企业利益代表，以国有企业最大利益为行为准则，不得从事有损于国有企业利益的活动，并履行以下职责：</w:t>
      </w:r>
    </w:p>
    <w:p>
      <w:pPr>
        <w:spacing w:line="560" w:lineRule="exact"/>
        <w:ind w:firstLine="632" w:firstLineChars="200"/>
        <w:rPr>
          <w:szCs w:val="32"/>
        </w:rPr>
      </w:pPr>
      <w:r>
        <w:rPr>
          <w:szCs w:val="32"/>
        </w:rPr>
        <w:t>（一）依照《公司法》及所任职国有参股公司章程规定，依法维护国有企业和投资参股公司的合法权益；</w:t>
      </w:r>
    </w:p>
    <w:p>
      <w:pPr>
        <w:spacing w:line="560" w:lineRule="exact"/>
        <w:ind w:firstLine="632" w:firstLineChars="200"/>
        <w:rPr>
          <w:szCs w:val="32"/>
        </w:rPr>
      </w:pPr>
      <w:r>
        <w:rPr>
          <w:szCs w:val="32"/>
        </w:rPr>
        <w:t>（二）认真贯彻执行国家有关法规和制度，依据国有企业内部决策程序通过的决定、指示和建议，在所任职投资参股公司董事会及相关会议上发表意见和主张；</w:t>
      </w:r>
    </w:p>
    <w:p>
      <w:pPr>
        <w:spacing w:line="560" w:lineRule="exact"/>
        <w:ind w:firstLine="632" w:firstLineChars="200"/>
        <w:rPr>
          <w:szCs w:val="32"/>
        </w:rPr>
      </w:pPr>
      <w:r>
        <w:rPr>
          <w:szCs w:val="32"/>
        </w:rPr>
        <w:t>（三）恪守诚信勤勉的职业道德，不得对外泄露国有企业和投资参股公司机密；</w:t>
      </w:r>
    </w:p>
    <w:p>
      <w:pPr>
        <w:spacing w:line="560" w:lineRule="exact"/>
        <w:ind w:firstLine="632" w:firstLineChars="200"/>
        <w:rPr>
          <w:szCs w:val="32"/>
        </w:rPr>
      </w:pPr>
      <w:r>
        <w:rPr>
          <w:szCs w:val="32"/>
        </w:rPr>
        <w:t>（四）每季度向国有企业报告投资参股公司经营情况, 年终提交年度述职报告；</w:t>
      </w:r>
    </w:p>
    <w:p>
      <w:pPr>
        <w:spacing w:line="560" w:lineRule="exact"/>
        <w:ind w:firstLine="632" w:firstLineChars="200"/>
        <w:rPr>
          <w:szCs w:val="32"/>
        </w:rPr>
      </w:pPr>
      <w:r>
        <w:rPr>
          <w:szCs w:val="32"/>
        </w:rPr>
        <w:t>（五）公司章程规定的其它职责。</w:t>
      </w:r>
    </w:p>
    <w:p>
      <w:pPr>
        <w:spacing w:line="560" w:lineRule="exact"/>
        <w:ind w:firstLine="660"/>
        <w:rPr>
          <w:szCs w:val="32"/>
        </w:rPr>
      </w:pPr>
      <w:r>
        <w:rPr>
          <w:szCs w:val="32"/>
        </w:rPr>
        <w:t>第十九条  投资参股公司按照有关法律法规和公司章程规定应提交公司股东（大）会、董事会、监事会决策的事项，国有股权代表应提前将会议有关内容和拟表决意见上报国有企业，并履行国有企业内部决策后，本着维护国有出资人权益、促进企业发展的原则，在投资参股公司股东（大）会、董事会、监事会上行使表决权，并于会议结束后五日内将表决结果以书面形式报国有企业。报告中应写明投资参股公司股东（大）会、董事会、监事会的主要情况及对决策事项的表决意见。</w:t>
      </w:r>
    </w:p>
    <w:p>
      <w:pPr>
        <w:spacing w:line="560" w:lineRule="exact"/>
        <w:ind w:firstLine="645"/>
        <w:rPr>
          <w:szCs w:val="32"/>
        </w:rPr>
      </w:pPr>
      <w:r>
        <w:rPr>
          <w:szCs w:val="32"/>
        </w:rPr>
        <w:t>第二十条  委派到投资参股公司兼职的国有企业股权代表不得在所兼职公司领取薪酬、奖金、津贴等报酬，不得获取所兼职投资参股公司股权和其他额外利益。</w:t>
      </w:r>
    </w:p>
    <w:p>
      <w:pPr>
        <w:spacing w:line="560" w:lineRule="exact"/>
        <w:ind w:firstLine="660"/>
        <w:rPr>
          <w:szCs w:val="32"/>
        </w:rPr>
      </w:pPr>
    </w:p>
    <w:p>
      <w:pPr>
        <w:spacing w:line="560" w:lineRule="exact"/>
        <w:jc w:val="center"/>
        <w:rPr>
          <w:rFonts w:eastAsia="黑体"/>
          <w:szCs w:val="32"/>
        </w:rPr>
      </w:pPr>
      <w:r>
        <w:rPr>
          <w:rFonts w:eastAsia="黑体"/>
          <w:szCs w:val="32"/>
        </w:rPr>
        <w:t>第六章  投后分析管理</w:t>
      </w:r>
    </w:p>
    <w:p>
      <w:pPr>
        <w:spacing w:line="560" w:lineRule="exact"/>
        <w:ind w:firstLine="660"/>
        <w:rPr>
          <w:szCs w:val="32"/>
        </w:rPr>
      </w:pPr>
    </w:p>
    <w:p>
      <w:pPr>
        <w:spacing w:line="560" w:lineRule="exact"/>
        <w:ind w:firstLine="632" w:firstLineChars="200"/>
        <w:rPr>
          <w:szCs w:val="32"/>
        </w:rPr>
      </w:pPr>
      <w:r>
        <w:rPr>
          <w:szCs w:val="32"/>
        </w:rPr>
        <w:t>第二十一条  国有企业应根据各投资参股公司发展情况适时提出进一步的战略调整方案，探索有效资本运营模式，优化国有资本布局结构；通过股权运作、价值管理、有序进退，促进国有资本合理流动，实现保值增值。</w:t>
      </w:r>
    </w:p>
    <w:p>
      <w:pPr>
        <w:spacing w:line="560" w:lineRule="exact"/>
        <w:ind w:firstLine="632" w:firstLineChars="200"/>
        <w:rPr>
          <w:color w:val="333333"/>
          <w:kern w:val="0"/>
          <w:szCs w:val="32"/>
        </w:rPr>
      </w:pPr>
      <w:r>
        <w:rPr>
          <w:color w:val="333333"/>
          <w:kern w:val="0"/>
          <w:szCs w:val="32"/>
        </w:rPr>
        <w:t>第二十二条  年度终了后，国有企业</w:t>
      </w:r>
      <w:r>
        <w:rPr>
          <w:szCs w:val="32"/>
        </w:rPr>
        <w:t>编制年度投资情况分析报告，于次年4月30日前报送区国资委。年度投资情况分析报告包括但不限于以下内容：</w:t>
      </w:r>
    </w:p>
    <w:p>
      <w:pPr>
        <w:spacing w:line="560" w:lineRule="exact"/>
        <w:ind w:firstLine="632" w:firstLineChars="200"/>
        <w:rPr>
          <w:color w:val="333333"/>
          <w:kern w:val="0"/>
          <w:szCs w:val="32"/>
        </w:rPr>
      </w:pPr>
      <w:r>
        <w:rPr>
          <w:color w:val="333333"/>
          <w:kern w:val="0"/>
          <w:szCs w:val="32"/>
        </w:rPr>
        <w:t>（一）年度投资参股完成情况；</w:t>
      </w:r>
    </w:p>
    <w:p>
      <w:pPr>
        <w:spacing w:line="560" w:lineRule="exact"/>
        <w:ind w:firstLine="632" w:firstLineChars="200"/>
        <w:rPr>
          <w:color w:val="333333"/>
          <w:kern w:val="0"/>
          <w:szCs w:val="32"/>
        </w:rPr>
      </w:pPr>
      <w:r>
        <w:rPr>
          <w:color w:val="333333"/>
          <w:kern w:val="0"/>
          <w:szCs w:val="32"/>
        </w:rPr>
        <w:t>（二）投资参股效果分析；</w:t>
      </w:r>
    </w:p>
    <w:p>
      <w:pPr>
        <w:spacing w:line="560" w:lineRule="exact"/>
        <w:ind w:firstLine="632" w:firstLineChars="200"/>
        <w:rPr>
          <w:color w:val="333333"/>
          <w:kern w:val="0"/>
          <w:szCs w:val="32"/>
        </w:rPr>
      </w:pPr>
      <w:r>
        <w:rPr>
          <w:color w:val="333333"/>
          <w:kern w:val="0"/>
          <w:szCs w:val="32"/>
        </w:rPr>
        <w:t>（三）年度投资参股后评价工作开展情况；</w:t>
      </w:r>
    </w:p>
    <w:p>
      <w:pPr>
        <w:spacing w:line="560" w:lineRule="exact"/>
        <w:ind w:firstLine="632" w:firstLineChars="200"/>
        <w:rPr>
          <w:color w:val="333333"/>
          <w:kern w:val="0"/>
          <w:szCs w:val="32"/>
        </w:rPr>
      </w:pPr>
      <w:r>
        <w:rPr>
          <w:color w:val="333333"/>
          <w:kern w:val="0"/>
          <w:szCs w:val="32"/>
        </w:rPr>
        <w:t>（四）年度投资参股存在的主要问题及改进措施。</w:t>
      </w:r>
    </w:p>
    <w:p>
      <w:pPr>
        <w:spacing w:line="560" w:lineRule="exact"/>
        <w:ind w:firstLine="632" w:firstLineChars="200"/>
        <w:rPr>
          <w:color w:val="333333"/>
          <w:kern w:val="0"/>
          <w:szCs w:val="32"/>
        </w:rPr>
      </w:pPr>
      <w:r>
        <w:rPr>
          <w:color w:val="333333"/>
          <w:kern w:val="0"/>
          <w:szCs w:val="32"/>
        </w:rPr>
        <w:t>第二十三条  国有企业应当对重大投资参股项目实施后评价管理，根据投资参股项目完成情况制定后评价计划，坚持独立、科学、公正的原则，在回顾项目全过程的基础上，构建全面评价指标体系，从技术、经济、管理、环境、社会影响、可持续能力等方面对项目进行评价，注重分析项目对企业实现战略目标、技术进步、市场占有、投资效益等方面的作用和影响，总结投资效果和经验教训，并有针对性的提出改进措施和对策建议。</w:t>
      </w:r>
    </w:p>
    <w:p>
      <w:pPr>
        <w:spacing w:line="560" w:lineRule="exact"/>
        <w:jc w:val="center"/>
        <w:rPr>
          <w:rFonts w:eastAsia="黑体"/>
          <w:szCs w:val="32"/>
        </w:rPr>
      </w:pPr>
    </w:p>
    <w:p>
      <w:pPr>
        <w:spacing w:line="560" w:lineRule="exact"/>
        <w:jc w:val="center"/>
        <w:rPr>
          <w:rFonts w:eastAsia="黑体"/>
          <w:szCs w:val="32"/>
        </w:rPr>
      </w:pPr>
      <w:r>
        <w:rPr>
          <w:rFonts w:eastAsia="黑体"/>
          <w:szCs w:val="32"/>
        </w:rPr>
        <w:t>第七章  监督检查管理</w:t>
      </w:r>
    </w:p>
    <w:p>
      <w:pPr>
        <w:spacing w:line="560" w:lineRule="exact"/>
        <w:ind w:firstLine="632" w:firstLineChars="200"/>
        <w:rPr>
          <w:color w:val="333333"/>
          <w:kern w:val="0"/>
          <w:szCs w:val="32"/>
        </w:rPr>
      </w:pPr>
    </w:p>
    <w:p>
      <w:pPr>
        <w:spacing w:line="560" w:lineRule="exact"/>
        <w:ind w:firstLine="632" w:firstLineChars="200"/>
        <w:rPr>
          <w:color w:val="333333"/>
          <w:kern w:val="0"/>
          <w:szCs w:val="32"/>
        </w:rPr>
      </w:pPr>
      <w:r>
        <w:rPr>
          <w:color w:val="333333"/>
          <w:kern w:val="0"/>
          <w:szCs w:val="32"/>
        </w:rPr>
        <w:t>第二十四条  国有企业监事会应加强对投资参股全过程监督检查，发现问题及时向区国资委报告，适时组织开展投资参股专项监督检查，在年度集中监督检查中对检查年度的投资参股情况进行评价。</w:t>
      </w:r>
    </w:p>
    <w:p>
      <w:pPr>
        <w:spacing w:line="560" w:lineRule="exact"/>
        <w:ind w:firstLine="632" w:firstLineChars="200"/>
        <w:rPr>
          <w:color w:val="333333"/>
          <w:kern w:val="0"/>
          <w:szCs w:val="32"/>
        </w:rPr>
      </w:pPr>
      <w:r>
        <w:rPr>
          <w:color w:val="333333"/>
          <w:kern w:val="0"/>
          <w:szCs w:val="32"/>
        </w:rPr>
        <w:t xml:space="preserve">第二十五条  国有企业投资参股管理制度的建立及执行情况和投资参股项目效益情况将纳入国有企业领导人员经营业绩考核。   </w:t>
      </w:r>
    </w:p>
    <w:p>
      <w:pPr>
        <w:spacing w:line="560" w:lineRule="exact"/>
        <w:ind w:firstLine="632" w:firstLineChars="200"/>
        <w:rPr>
          <w:color w:val="333333"/>
          <w:kern w:val="0"/>
          <w:szCs w:val="32"/>
        </w:rPr>
      </w:pPr>
      <w:r>
        <w:rPr>
          <w:color w:val="333333"/>
          <w:kern w:val="0"/>
          <w:szCs w:val="32"/>
        </w:rPr>
        <w:t>第二十六条  国有企业违反本办法规定的，区国资委应当责令其改正；未履行或者未正确履行投资管理职责造成国有资产损失以及其他严重不良后果的，依照《企业国有资产法》、</w:t>
      </w:r>
      <w:r>
        <w:rPr>
          <w:szCs w:val="32"/>
        </w:rPr>
        <w:t>《重庆市沙坪坝区区属国有重点企业违规经营投资责任追究实施办法》</w:t>
      </w:r>
      <w:r>
        <w:rPr>
          <w:color w:val="333333"/>
          <w:kern w:val="0"/>
          <w:szCs w:val="32"/>
        </w:rPr>
        <w:t>等有关规定追究企业相关领导人员和经营管理人员的责任。</w:t>
      </w:r>
    </w:p>
    <w:p>
      <w:pPr>
        <w:spacing w:line="560" w:lineRule="exact"/>
        <w:ind w:firstLine="480"/>
        <w:rPr>
          <w:color w:val="333333"/>
          <w:kern w:val="0"/>
          <w:szCs w:val="32"/>
        </w:rPr>
      </w:pPr>
    </w:p>
    <w:p>
      <w:pPr>
        <w:spacing w:line="560" w:lineRule="exact"/>
        <w:jc w:val="center"/>
        <w:rPr>
          <w:rFonts w:eastAsia="黑体"/>
          <w:szCs w:val="32"/>
        </w:rPr>
      </w:pPr>
      <w:r>
        <w:rPr>
          <w:rFonts w:eastAsia="黑体"/>
          <w:szCs w:val="32"/>
        </w:rPr>
        <w:t>第八章  附则</w:t>
      </w:r>
    </w:p>
    <w:p>
      <w:pPr>
        <w:spacing w:line="560" w:lineRule="exact"/>
        <w:ind w:firstLine="480"/>
        <w:jc w:val="center"/>
        <w:rPr>
          <w:color w:val="333333"/>
          <w:kern w:val="0"/>
          <w:szCs w:val="32"/>
        </w:rPr>
      </w:pPr>
    </w:p>
    <w:p>
      <w:pPr>
        <w:spacing w:line="560" w:lineRule="exact"/>
        <w:ind w:firstLine="632" w:firstLineChars="200"/>
        <w:rPr>
          <w:color w:val="333333"/>
          <w:kern w:val="0"/>
          <w:szCs w:val="32"/>
        </w:rPr>
      </w:pPr>
      <w:r>
        <w:rPr>
          <w:color w:val="333333"/>
          <w:kern w:val="0"/>
          <w:szCs w:val="32"/>
        </w:rPr>
        <w:t>第二十七条  国有企业承担的由区政府决定的政府性投资参股项目，区政府另有要求的，从其要求。</w:t>
      </w:r>
    </w:p>
    <w:p>
      <w:pPr>
        <w:spacing w:line="560" w:lineRule="exact"/>
        <w:ind w:firstLine="632" w:firstLineChars="200"/>
        <w:rPr>
          <w:color w:val="333333"/>
          <w:kern w:val="0"/>
          <w:szCs w:val="32"/>
        </w:rPr>
      </w:pPr>
      <w:r>
        <w:rPr>
          <w:color w:val="333333"/>
          <w:kern w:val="0"/>
          <w:szCs w:val="32"/>
        </w:rPr>
        <w:t>第二十八条  国有企业所属全资或控股子公司投资参股活动以及通过股权投资基金进行投资的活动参照本办法执行。</w:t>
      </w:r>
    </w:p>
    <w:p>
      <w:pPr>
        <w:spacing w:line="560" w:lineRule="exact"/>
        <w:ind w:firstLine="632" w:firstLineChars="200"/>
        <w:rPr>
          <w:color w:val="333333"/>
          <w:kern w:val="0"/>
          <w:szCs w:val="32"/>
        </w:rPr>
      </w:pPr>
      <w:r>
        <w:rPr>
          <w:color w:val="333333"/>
          <w:kern w:val="0"/>
          <w:szCs w:val="32"/>
        </w:rPr>
        <w:t>第二十九条  本办法由区国资委负责解释。</w:t>
      </w:r>
    </w:p>
    <w:p>
      <w:pPr>
        <w:spacing w:line="560" w:lineRule="exact"/>
        <w:ind w:firstLine="632" w:firstLineChars="200"/>
        <w:rPr>
          <w:color w:val="333333"/>
          <w:kern w:val="0"/>
          <w:szCs w:val="32"/>
        </w:rPr>
      </w:pPr>
      <w:r>
        <w:rPr>
          <w:color w:val="333333"/>
          <w:kern w:val="0"/>
          <w:szCs w:val="32"/>
        </w:rPr>
        <w:t>第三十条    本办法自印发之日起施行。</w:t>
      </w:r>
    </w:p>
    <w:p>
      <w:pPr>
        <w:spacing w:line="594" w:lineRule="exact"/>
        <w:ind w:firstLine="640"/>
        <w:jc w:val="left"/>
        <w:rPr>
          <w:rFonts w:hint="eastAsia" w:ascii="方正仿宋_GBK" w:eastAsia="方正仿宋_GBK"/>
          <w:sz w:val="32"/>
          <w:lang w:val="en-US" w:eastAsia="zh-CN"/>
        </w:rPr>
      </w:pPr>
    </w:p>
    <w:p>
      <w:pPr>
        <w:spacing w:line="594" w:lineRule="exact"/>
        <w:ind w:firstLine="640"/>
        <w:jc w:val="left"/>
        <w:rPr>
          <w:rFonts w:hint="eastAsia" w:ascii="方正仿宋_GBK" w:eastAsia="方正仿宋_GBK"/>
          <w:sz w:val="32"/>
          <w:lang w:val="en-US" w:eastAsia="zh-CN"/>
        </w:rPr>
      </w:pPr>
      <w:r>
        <w:rPr>
          <w:rFonts w:hint="eastAsia" w:ascii="方正仿宋_GBK" w:eastAsia="方正仿宋_GBK"/>
          <w:sz w:val="32"/>
          <w:lang w:val="en-US" w:eastAsia="zh-CN"/>
        </w:rPr>
        <w:t>(此件公开发布）</w:t>
      </w:r>
    </w:p>
    <w:p>
      <w:pPr>
        <w:spacing w:line="594" w:lineRule="exact"/>
        <w:ind w:left="640"/>
        <w:jc w:val="left"/>
        <w:rPr>
          <w:szCs w:val="32"/>
        </w:rPr>
      </w:pPr>
      <w:bookmarkStart w:id="0" w:name="_GoBack"/>
      <w:bookmarkEnd w:id="0"/>
    </w:p>
    <w:p>
      <w:pPr>
        <w:spacing w:line="280" w:lineRule="exact"/>
        <w:ind w:right="641"/>
        <w:rPr>
          <w:bCs/>
          <w:color w:val="000000"/>
          <w:kern w:val="0"/>
          <w:szCs w:val="32"/>
          <w:lang w:val="zh-CN"/>
        </w:rPr>
      </w:pPr>
    </w:p>
    <w:sectPr>
      <w:headerReference r:id="rId3" w:type="default"/>
      <w:footerReference r:id="rId5" w:type="default"/>
      <w:headerReference r:id="rId4" w:type="even"/>
      <w:footerReference r:id="rId6" w:type="even"/>
      <w:pgSz w:w="11906" w:h="16838"/>
      <w:pgMar w:top="993" w:right="1558" w:bottom="1985" w:left="1531" w:header="851" w:footer="1474" w:gutter="0"/>
      <w:pgNumType w:start="1"/>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方正小标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sz w:val="30"/>
        <w:szCs w:val="30"/>
      </w:rPr>
    </w:pPr>
    <w:r>
      <w:rPr>
        <w:kern w:val="0"/>
        <w:sz w:val="30"/>
        <w:szCs w:val="30"/>
      </w:rPr>
      <w:t xml:space="preserve"> </w:t>
    </w:r>
    <w:r>
      <w:rPr>
        <w:rStyle w:val="8"/>
        <w:sz w:val="30"/>
        <w:szCs w:val="30"/>
      </w:rPr>
      <w:t>―</w:t>
    </w:r>
    <w:r>
      <w:rPr>
        <w:kern w:val="0"/>
        <w:sz w:val="30"/>
        <w:szCs w:val="30"/>
      </w:rPr>
      <w:t xml:space="preserve"> </w:t>
    </w:r>
    <w:r>
      <w:rPr>
        <w:kern w:val="0"/>
        <w:sz w:val="30"/>
        <w:szCs w:val="30"/>
      </w:rPr>
      <w:fldChar w:fldCharType="begin"/>
    </w:r>
    <w:r>
      <w:rPr>
        <w:kern w:val="0"/>
        <w:sz w:val="30"/>
        <w:szCs w:val="30"/>
      </w:rPr>
      <w:instrText xml:space="preserve"> PAGE </w:instrText>
    </w:r>
    <w:r>
      <w:rPr>
        <w:kern w:val="0"/>
        <w:sz w:val="30"/>
        <w:szCs w:val="30"/>
      </w:rPr>
      <w:fldChar w:fldCharType="separate"/>
    </w:r>
    <w:r>
      <w:rPr>
        <w:kern w:val="0"/>
        <w:sz w:val="30"/>
        <w:szCs w:val="30"/>
      </w:rPr>
      <w:t>9</w:t>
    </w:r>
    <w:r>
      <w:rPr>
        <w:kern w:val="0"/>
        <w:sz w:val="30"/>
        <w:szCs w:val="30"/>
      </w:rPr>
      <w:fldChar w:fldCharType="end"/>
    </w:r>
    <w:r>
      <w:rPr>
        <w:kern w:val="0"/>
        <w:sz w:val="30"/>
        <w:szCs w:val="30"/>
      </w:rPr>
      <w:t xml:space="preserve"> </w:t>
    </w:r>
    <w:r>
      <w:rPr>
        <w:rStyle w:val="8"/>
        <w:sz w:val="30"/>
        <w:szCs w:val="30"/>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sz w:val="30"/>
        <w:szCs w:val="30"/>
      </w:rPr>
    </w:pPr>
    <w:r>
      <w:rPr>
        <w:rStyle w:val="8"/>
        <w:sz w:val="30"/>
        <w:szCs w:val="30"/>
      </w:rPr>
      <w:t>―</w:t>
    </w:r>
    <w:r>
      <w:rPr>
        <w:kern w:val="0"/>
        <w:sz w:val="30"/>
        <w:szCs w:val="30"/>
      </w:rPr>
      <w:t xml:space="preserve"> </w:t>
    </w:r>
    <w:r>
      <w:rPr>
        <w:kern w:val="0"/>
        <w:sz w:val="30"/>
        <w:szCs w:val="30"/>
      </w:rPr>
      <w:fldChar w:fldCharType="begin"/>
    </w:r>
    <w:r>
      <w:rPr>
        <w:kern w:val="0"/>
        <w:sz w:val="30"/>
        <w:szCs w:val="30"/>
      </w:rPr>
      <w:instrText xml:space="preserve"> PAGE </w:instrText>
    </w:r>
    <w:r>
      <w:rPr>
        <w:kern w:val="0"/>
        <w:sz w:val="30"/>
        <w:szCs w:val="30"/>
      </w:rPr>
      <w:fldChar w:fldCharType="separate"/>
    </w:r>
    <w:r>
      <w:rPr>
        <w:kern w:val="0"/>
        <w:sz w:val="30"/>
        <w:szCs w:val="30"/>
      </w:rPr>
      <w:t>8</w:t>
    </w:r>
    <w:r>
      <w:rPr>
        <w:kern w:val="0"/>
        <w:sz w:val="30"/>
        <w:szCs w:val="30"/>
      </w:rPr>
      <w:fldChar w:fldCharType="end"/>
    </w:r>
    <w:r>
      <w:rPr>
        <w:kern w:val="0"/>
        <w:sz w:val="30"/>
        <w:szCs w:val="30"/>
      </w:rPr>
      <w:t xml:space="preserve"> </w:t>
    </w:r>
    <w:r>
      <w:rPr>
        <w:rStyle w:val="8"/>
        <w:sz w:val="30"/>
        <w:szCs w:val="3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45458"/>
    <w:rsid w:val="000015BB"/>
    <w:rsid w:val="0001496F"/>
    <w:rsid w:val="00015622"/>
    <w:rsid w:val="000162BB"/>
    <w:rsid w:val="0002694E"/>
    <w:rsid w:val="00033C03"/>
    <w:rsid w:val="000358E3"/>
    <w:rsid w:val="000360ED"/>
    <w:rsid w:val="000432A0"/>
    <w:rsid w:val="00045D45"/>
    <w:rsid w:val="0005067D"/>
    <w:rsid w:val="000539AF"/>
    <w:rsid w:val="00060E2A"/>
    <w:rsid w:val="0007160D"/>
    <w:rsid w:val="00073B2A"/>
    <w:rsid w:val="000A16CF"/>
    <w:rsid w:val="000A42FC"/>
    <w:rsid w:val="000A5C59"/>
    <w:rsid w:val="000B0D63"/>
    <w:rsid w:val="000C0B23"/>
    <w:rsid w:val="000C52C0"/>
    <w:rsid w:val="000D09D7"/>
    <w:rsid w:val="000D2A3A"/>
    <w:rsid w:val="000D624C"/>
    <w:rsid w:val="000E0DB8"/>
    <w:rsid w:val="000E189F"/>
    <w:rsid w:val="000E3FA5"/>
    <w:rsid w:val="000E4A9B"/>
    <w:rsid w:val="000E4F6A"/>
    <w:rsid w:val="00110DEF"/>
    <w:rsid w:val="00122F55"/>
    <w:rsid w:val="00123F94"/>
    <w:rsid w:val="001547B3"/>
    <w:rsid w:val="001561CD"/>
    <w:rsid w:val="00164144"/>
    <w:rsid w:val="0016483A"/>
    <w:rsid w:val="00164E75"/>
    <w:rsid w:val="00165160"/>
    <w:rsid w:val="001670DE"/>
    <w:rsid w:val="00180EDB"/>
    <w:rsid w:val="00181695"/>
    <w:rsid w:val="00186136"/>
    <w:rsid w:val="00190FDC"/>
    <w:rsid w:val="00193F91"/>
    <w:rsid w:val="001963E6"/>
    <w:rsid w:val="001A3DAB"/>
    <w:rsid w:val="001C6D4F"/>
    <w:rsid w:val="001C70B0"/>
    <w:rsid w:val="001D37DE"/>
    <w:rsid w:val="001D44E2"/>
    <w:rsid w:val="001E5D38"/>
    <w:rsid w:val="001E67A6"/>
    <w:rsid w:val="001F5E8A"/>
    <w:rsid w:val="00201632"/>
    <w:rsid w:val="002147A5"/>
    <w:rsid w:val="00217F53"/>
    <w:rsid w:val="00220850"/>
    <w:rsid w:val="002250F4"/>
    <w:rsid w:val="00225B86"/>
    <w:rsid w:val="00234806"/>
    <w:rsid w:val="00252984"/>
    <w:rsid w:val="00261BB1"/>
    <w:rsid w:val="00265D67"/>
    <w:rsid w:val="00275994"/>
    <w:rsid w:val="00283DB9"/>
    <w:rsid w:val="0029420C"/>
    <w:rsid w:val="00297D5E"/>
    <w:rsid w:val="002A5E7A"/>
    <w:rsid w:val="002C6411"/>
    <w:rsid w:val="002D52D7"/>
    <w:rsid w:val="002D58D3"/>
    <w:rsid w:val="002D6208"/>
    <w:rsid w:val="002F4ED1"/>
    <w:rsid w:val="002F5BDE"/>
    <w:rsid w:val="002F7657"/>
    <w:rsid w:val="00300396"/>
    <w:rsid w:val="00307D5B"/>
    <w:rsid w:val="00311D7F"/>
    <w:rsid w:val="00315B45"/>
    <w:rsid w:val="003241DC"/>
    <w:rsid w:val="00326CF5"/>
    <w:rsid w:val="00330BAF"/>
    <w:rsid w:val="003324F3"/>
    <w:rsid w:val="00333DFF"/>
    <w:rsid w:val="00351F30"/>
    <w:rsid w:val="003552EB"/>
    <w:rsid w:val="003633BF"/>
    <w:rsid w:val="00363602"/>
    <w:rsid w:val="0036685D"/>
    <w:rsid w:val="003771BE"/>
    <w:rsid w:val="00390A08"/>
    <w:rsid w:val="003923CA"/>
    <w:rsid w:val="003A3052"/>
    <w:rsid w:val="003C3E6B"/>
    <w:rsid w:val="003C4A7F"/>
    <w:rsid w:val="003D2D6B"/>
    <w:rsid w:val="003E43AB"/>
    <w:rsid w:val="00403581"/>
    <w:rsid w:val="00415C66"/>
    <w:rsid w:val="004236C1"/>
    <w:rsid w:val="0042428B"/>
    <w:rsid w:val="00425AF4"/>
    <w:rsid w:val="00433A82"/>
    <w:rsid w:val="004365AF"/>
    <w:rsid w:val="00450D7F"/>
    <w:rsid w:val="0046034D"/>
    <w:rsid w:val="00461580"/>
    <w:rsid w:val="004632BF"/>
    <w:rsid w:val="004704B3"/>
    <w:rsid w:val="00470B38"/>
    <w:rsid w:val="00471410"/>
    <w:rsid w:val="00472D40"/>
    <w:rsid w:val="004742E5"/>
    <w:rsid w:val="00474B9B"/>
    <w:rsid w:val="00482F02"/>
    <w:rsid w:val="00485EEB"/>
    <w:rsid w:val="00491EA3"/>
    <w:rsid w:val="0049232A"/>
    <w:rsid w:val="00496361"/>
    <w:rsid w:val="00496371"/>
    <w:rsid w:val="00497343"/>
    <w:rsid w:val="004A03F3"/>
    <w:rsid w:val="004B066D"/>
    <w:rsid w:val="004C0209"/>
    <w:rsid w:val="004C4C51"/>
    <w:rsid w:val="004C5AF7"/>
    <w:rsid w:val="004D267C"/>
    <w:rsid w:val="004D7743"/>
    <w:rsid w:val="004E2587"/>
    <w:rsid w:val="004E43E2"/>
    <w:rsid w:val="004F17D5"/>
    <w:rsid w:val="004F43D6"/>
    <w:rsid w:val="005002C4"/>
    <w:rsid w:val="005026EC"/>
    <w:rsid w:val="00511DF2"/>
    <w:rsid w:val="0051263F"/>
    <w:rsid w:val="00524982"/>
    <w:rsid w:val="00525710"/>
    <w:rsid w:val="00532409"/>
    <w:rsid w:val="00536112"/>
    <w:rsid w:val="005364DB"/>
    <w:rsid w:val="0054244D"/>
    <w:rsid w:val="00545458"/>
    <w:rsid w:val="00550B9A"/>
    <w:rsid w:val="005560B1"/>
    <w:rsid w:val="00556124"/>
    <w:rsid w:val="00556413"/>
    <w:rsid w:val="0058682E"/>
    <w:rsid w:val="0058706C"/>
    <w:rsid w:val="00587381"/>
    <w:rsid w:val="005B09C3"/>
    <w:rsid w:val="005B3D18"/>
    <w:rsid w:val="005D0A37"/>
    <w:rsid w:val="005D25E5"/>
    <w:rsid w:val="005D5596"/>
    <w:rsid w:val="005E5E5D"/>
    <w:rsid w:val="005F1FE6"/>
    <w:rsid w:val="005F30D1"/>
    <w:rsid w:val="00604350"/>
    <w:rsid w:val="00610AE7"/>
    <w:rsid w:val="00610E46"/>
    <w:rsid w:val="006166FD"/>
    <w:rsid w:val="00617F31"/>
    <w:rsid w:val="006220D0"/>
    <w:rsid w:val="006302C6"/>
    <w:rsid w:val="006337DE"/>
    <w:rsid w:val="00636058"/>
    <w:rsid w:val="00636136"/>
    <w:rsid w:val="0065077D"/>
    <w:rsid w:val="00651DDA"/>
    <w:rsid w:val="006679E1"/>
    <w:rsid w:val="00671F7E"/>
    <w:rsid w:val="0067430B"/>
    <w:rsid w:val="00684860"/>
    <w:rsid w:val="006A3443"/>
    <w:rsid w:val="006B2B44"/>
    <w:rsid w:val="006B6D6D"/>
    <w:rsid w:val="006C0FD2"/>
    <w:rsid w:val="006C1A20"/>
    <w:rsid w:val="006C498D"/>
    <w:rsid w:val="006C4BB4"/>
    <w:rsid w:val="006D4F46"/>
    <w:rsid w:val="006E2D00"/>
    <w:rsid w:val="006E3205"/>
    <w:rsid w:val="006F546A"/>
    <w:rsid w:val="006F66CB"/>
    <w:rsid w:val="006F7C8C"/>
    <w:rsid w:val="007104B3"/>
    <w:rsid w:val="0071220B"/>
    <w:rsid w:val="00735229"/>
    <w:rsid w:val="007400F4"/>
    <w:rsid w:val="0076214F"/>
    <w:rsid w:val="007715C4"/>
    <w:rsid w:val="00781F03"/>
    <w:rsid w:val="007A2B6E"/>
    <w:rsid w:val="007B1BF0"/>
    <w:rsid w:val="007B5E80"/>
    <w:rsid w:val="007C0314"/>
    <w:rsid w:val="007C1BEB"/>
    <w:rsid w:val="007C4768"/>
    <w:rsid w:val="007C551D"/>
    <w:rsid w:val="007E198B"/>
    <w:rsid w:val="00804EBB"/>
    <w:rsid w:val="0082301F"/>
    <w:rsid w:val="0083285A"/>
    <w:rsid w:val="00840E70"/>
    <w:rsid w:val="00843C92"/>
    <w:rsid w:val="008513E0"/>
    <w:rsid w:val="00851FCB"/>
    <w:rsid w:val="00852679"/>
    <w:rsid w:val="00880A53"/>
    <w:rsid w:val="008835BC"/>
    <w:rsid w:val="00884774"/>
    <w:rsid w:val="0088716A"/>
    <w:rsid w:val="00894F4E"/>
    <w:rsid w:val="008A6234"/>
    <w:rsid w:val="008C170F"/>
    <w:rsid w:val="008C5118"/>
    <w:rsid w:val="008D257D"/>
    <w:rsid w:val="008D57B3"/>
    <w:rsid w:val="008D75CD"/>
    <w:rsid w:val="009206BF"/>
    <w:rsid w:val="0092321A"/>
    <w:rsid w:val="00926A54"/>
    <w:rsid w:val="00937421"/>
    <w:rsid w:val="009535D8"/>
    <w:rsid w:val="00966C63"/>
    <w:rsid w:val="009700D7"/>
    <w:rsid w:val="009708A0"/>
    <w:rsid w:val="00970B5C"/>
    <w:rsid w:val="0097592C"/>
    <w:rsid w:val="00976416"/>
    <w:rsid w:val="0098049C"/>
    <w:rsid w:val="00981BC9"/>
    <w:rsid w:val="00982488"/>
    <w:rsid w:val="00982F9B"/>
    <w:rsid w:val="009857A4"/>
    <w:rsid w:val="00986783"/>
    <w:rsid w:val="009907CF"/>
    <w:rsid w:val="00991BCA"/>
    <w:rsid w:val="009A0C10"/>
    <w:rsid w:val="009A5E73"/>
    <w:rsid w:val="009C393E"/>
    <w:rsid w:val="009C480C"/>
    <w:rsid w:val="009D12DA"/>
    <w:rsid w:val="009D2877"/>
    <w:rsid w:val="009D3083"/>
    <w:rsid w:val="009D6636"/>
    <w:rsid w:val="009E31BF"/>
    <w:rsid w:val="009F0389"/>
    <w:rsid w:val="009F41B9"/>
    <w:rsid w:val="009F705B"/>
    <w:rsid w:val="00A101B6"/>
    <w:rsid w:val="00A203A7"/>
    <w:rsid w:val="00A23403"/>
    <w:rsid w:val="00A330C6"/>
    <w:rsid w:val="00A331AB"/>
    <w:rsid w:val="00A33BB3"/>
    <w:rsid w:val="00A34FCB"/>
    <w:rsid w:val="00A46FBF"/>
    <w:rsid w:val="00A54D57"/>
    <w:rsid w:val="00A62119"/>
    <w:rsid w:val="00A633F4"/>
    <w:rsid w:val="00A654D6"/>
    <w:rsid w:val="00A65CAC"/>
    <w:rsid w:val="00A710B2"/>
    <w:rsid w:val="00A80E1B"/>
    <w:rsid w:val="00A82B62"/>
    <w:rsid w:val="00A876D7"/>
    <w:rsid w:val="00A92E07"/>
    <w:rsid w:val="00A94A12"/>
    <w:rsid w:val="00A94A41"/>
    <w:rsid w:val="00AB2401"/>
    <w:rsid w:val="00AC0550"/>
    <w:rsid w:val="00AD3244"/>
    <w:rsid w:val="00AD5814"/>
    <w:rsid w:val="00AF4D10"/>
    <w:rsid w:val="00AF5262"/>
    <w:rsid w:val="00AF7CA4"/>
    <w:rsid w:val="00B00AEF"/>
    <w:rsid w:val="00B01474"/>
    <w:rsid w:val="00B16D6E"/>
    <w:rsid w:val="00B25109"/>
    <w:rsid w:val="00B31294"/>
    <w:rsid w:val="00B374A0"/>
    <w:rsid w:val="00B377E1"/>
    <w:rsid w:val="00B571B7"/>
    <w:rsid w:val="00B73555"/>
    <w:rsid w:val="00B77C00"/>
    <w:rsid w:val="00B83A71"/>
    <w:rsid w:val="00BC11E4"/>
    <w:rsid w:val="00BC43C9"/>
    <w:rsid w:val="00BC4411"/>
    <w:rsid w:val="00BC69D8"/>
    <w:rsid w:val="00BD3758"/>
    <w:rsid w:val="00BD6499"/>
    <w:rsid w:val="00BD79D3"/>
    <w:rsid w:val="00BD7DD8"/>
    <w:rsid w:val="00BE0F71"/>
    <w:rsid w:val="00BF0276"/>
    <w:rsid w:val="00BF2DCD"/>
    <w:rsid w:val="00BF3808"/>
    <w:rsid w:val="00BF5112"/>
    <w:rsid w:val="00C00E17"/>
    <w:rsid w:val="00C03319"/>
    <w:rsid w:val="00C07E84"/>
    <w:rsid w:val="00C12C17"/>
    <w:rsid w:val="00C202C4"/>
    <w:rsid w:val="00C231CF"/>
    <w:rsid w:val="00C259A2"/>
    <w:rsid w:val="00C26116"/>
    <w:rsid w:val="00C26642"/>
    <w:rsid w:val="00C26AAF"/>
    <w:rsid w:val="00C30E56"/>
    <w:rsid w:val="00C310EC"/>
    <w:rsid w:val="00C41874"/>
    <w:rsid w:val="00C4191A"/>
    <w:rsid w:val="00C50DFE"/>
    <w:rsid w:val="00C51B83"/>
    <w:rsid w:val="00C56FA2"/>
    <w:rsid w:val="00C81188"/>
    <w:rsid w:val="00C92ED2"/>
    <w:rsid w:val="00C96D1F"/>
    <w:rsid w:val="00CA32E3"/>
    <w:rsid w:val="00CD42AD"/>
    <w:rsid w:val="00CD63B4"/>
    <w:rsid w:val="00CE696C"/>
    <w:rsid w:val="00CF7D83"/>
    <w:rsid w:val="00D00D09"/>
    <w:rsid w:val="00D10911"/>
    <w:rsid w:val="00D11D1B"/>
    <w:rsid w:val="00D15432"/>
    <w:rsid w:val="00D232ED"/>
    <w:rsid w:val="00D31973"/>
    <w:rsid w:val="00D33A5C"/>
    <w:rsid w:val="00D37BE7"/>
    <w:rsid w:val="00D4622C"/>
    <w:rsid w:val="00D52706"/>
    <w:rsid w:val="00D62033"/>
    <w:rsid w:val="00D66FC4"/>
    <w:rsid w:val="00D67BE1"/>
    <w:rsid w:val="00D70CAA"/>
    <w:rsid w:val="00D84BC9"/>
    <w:rsid w:val="00DA0A9A"/>
    <w:rsid w:val="00DA17F0"/>
    <w:rsid w:val="00DA60D9"/>
    <w:rsid w:val="00DA668A"/>
    <w:rsid w:val="00DB3987"/>
    <w:rsid w:val="00DC69D6"/>
    <w:rsid w:val="00DC7817"/>
    <w:rsid w:val="00DD4CC5"/>
    <w:rsid w:val="00DD7EE2"/>
    <w:rsid w:val="00DE2DF3"/>
    <w:rsid w:val="00DF4865"/>
    <w:rsid w:val="00E0187A"/>
    <w:rsid w:val="00E16A31"/>
    <w:rsid w:val="00E263F8"/>
    <w:rsid w:val="00E44092"/>
    <w:rsid w:val="00E55FD0"/>
    <w:rsid w:val="00E61468"/>
    <w:rsid w:val="00E61A04"/>
    <w:rsid w:val="00E66058"/>
    <w:rsid w:val="00E7146C"/>
    <w:rsid w:val="00E724D9"/>
    <w:rsid w:val="00E73735"/>
    <w:rsid w:val="00E73C4F"/>
    <w:rsid w:val="00E75D94"/>
    <w:rsid w:val="00EA008E"/>
    <w:rsid w:val="00EA0375"/>
    <w:rsid w:val="00EC1A45"/>
    <w:rsid w:val="00EC4AED"/>
    <w:rsid w:val="00EC6297"/>
    <w:rsid w:val="00ED166E"/>
    <w:rsid w:val="00ED6CD0"/>
    <w:rsid w:val="00ED7F4E"/>
    <w:rsid w:val="00EE1B5F"/>
    <w:rsid w:val="00EE2E46"/>
    <w:rsid w:val="00EF13DE"/>
    <w:rsid w:val="00EF43AE"/>
    <w:rsid w:val="00EF5492"/>
    <w:rsid w:val="00F014F9"/>
    <w:rsid w:val="00F04447"/>
    <w:rsid w:val="00F05992"/>
    <w:rsid w:val="00F33CAF"/>
    <w:rsid w:val="00F41727"/>
    <w:rsid w:val="00F47B6B"/>
    <w:rsid w:val="00F63A13"/>
    <w:rsid w:val="00F74874"/>
    <w:rsid w:val="00F80ADE"/>
    <w:rsid w:val="00F869A9"/>
    <w:rsid w:val="00F932B6"/>
    <w:rsid w:val="00F970BA"/>
    <w:rsid w:val="00FA4357"/>
    <w:rsid w:val="00FA4C1A"/>
    <w:rsid w:val="00FA4D6D"/>
    <w:rsid w:val="00FC4BC6"/>
    <w:rsid w:val="00FD26D6"/>
    <w:rsid w:val="00FE2C15"/>
    <w:rsid w:val="0E826823"/>
    <w:rsid w:val="51282E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7">
    <w:name w:val="Default Paragraph Font"/>
    <w:semiHidden/>
    <w:unhideWhenUsed/>
    <w:uiPriority w:val="1"/>
  </w:style>
  <w:style w:type="table" w:default="1" w:styleId="9">
    <w:name w:val="Normal Table"/>
    <w:semiHidden/>
    <w:unhideWhenUsed/>
    <w:uiPriority w:val="99"/>
    <w:tblPr>
      <w:tblLayout w:type="fixed"/>
      <w:tblCellMar>
        <w:top w:w="0" w:type="dxa"/>
        <w:left w:w="108" w:type="dxa"/>
        <w:bottom w:w="0" w:type="dxa"/>
        <w:right w:w="108" w:type="dxa"/>
      </w:tblCellMar>
    </w:tblPr>
  </w:style>
  <w:style w:type="paragraph" w:styleId="2">
    <w:name w:val="Document Map"/>
    <w:basedOn w:val="1"/>
    <w:link w:val="17"/>
    <w:semiHidden/>
    <w:unhideWhenUsed/>
    <w:qFormat/>
    <w:uiPriority w:val="99"/>
    <w:rPr>
      <w:rFonts w:ascii="宋体" w:eastAsia="宋体"/>
      <w:sz w:val="18"/>
      <w:szCs w:val="18"/>
    </w:rPr>
  </w:style>
  <w:style w:type="paragraph" w:styleId="3">
    <w:name w:val="Date"/>
    <w:basedOn w:val="1"/>
    <w:next w:val="1"/>
    <w:link w:val="15"/>
    <w:semiHidden/>
    <w:unhideWhenUsed/>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table" w:styleId="10">
    <w:name w:val="Table Grid"/>
    <w:basedOn w:val="9"/>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6"/>
    <w:uiPriority w:val="99"/>
    <w:rPr>
      <w:sz w:val="18"/>
      <w:szCs w:val="18"/>
    </w:rPr>
  </w:style>
  <w:style w:type="character" w:customStyle="1" w:styleId="12">
    <w:name w:val="页脚 Char"/>
    <w:basedOn w:val="7"/>
    <w:link w:val="5"/>
    <w:uiPriority w:val="99"/>
    <w:rPr>
      <w:sz w:val="18"/>
      <w:szCs w:val="18"/>
    </w:rPr>
  </w:style>
  <w:style w:type="character" w:customStyle="1" w:styleId="13">
    <w:name w:val="批注框文本 Char"/>
    <w:basedOn w:val="7"/>
    <w:link w:val="4"/>
    <w:semiHidden/>
    <w:qFormat/>
    <w:uiPriority w:val="99"/>
    <w:rPr>
      <w:sz w:val="18"/>
      <w:szCs w:val="18"/>
    </w:rPr>
  </w:style>
  <w:style w:type="paragraph" w:styleId="14">
    <w:name w:val="List Paragraph"/>
    <w:basedOn w:val="1"/>
    <w:qFormat/>
    <w:uiPriority w:val="34"/>
    <w:pPr>
      <w:ind w:firstLine="420" w:firstLineChars="200"/>
    </w:pPr>
  </w:style>
  <w:style w:type="character" w:customStyle="1" w:styleId="15">
    <w:name w:val="日期 Char"/>
    <w:basedOn w:val="7"/>
    <w:link w:val="3"/>
    <w:semiHidden/>
    <w:uiPriority w:val="99"/>
    <w:rPr>
      <w:rFonts w:ascii="Times New Roman" w:hAnsi="Times New Roman" w:eastAsia="方正仿宋_GBK" w:cs="Times New Roman"/>
      <w:sz w:val="32"/>
      <w:szCs w:val="20"/>
    </w:rPr>
  </w:style>
  <w:style w:type="paragraph" w:customStyle="1" w:styleId="16">
    <w:name w:val="Char Char Char2 Char"/>
    <w:basedOn w:val="2"/>
    <w:uiPriority w:val="0"/>
    <w:pPr>
      <w:shd w:val="clear" w:color="auto" w:fill="000080"/>
      <w:spacing w:beforeLines="50" w:afterLines="50"/>
    </w:pPr>
    <w:rPr>
      <w:rFonts w:ascii="Tahoma" w:hAnsi="Tahoma" w:cs="Tahoma"/>
      <w:b/>
      <w:bCs/>
      <w:sz w:val="28"/>
      <w:szCs w:val="28"/>
    </w:rPr>
  </w:style>
  <w:style w:type="character" w:customStyle="1" w:styleId="17">
    <w:name w:val="文档结构图 Char"/>
    <w:basedOn w:val="7"/>
    <w:link w:val="2"/>
    <w:semiHidden/>
    <w:uiPriority w:val="99"/>
    <w:rPr>
      <w:rFonts w:ascii="宋体"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DFE2659-4449-49E1-A5DF-99EECC90070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586</Words>
  <Characters>3342</Characters>
  <Lines>27</Lines>
  <Paragraphs>7</Paragraphs>
  <TotalTime>0</TotalTime>
  <ScaleCrop>false</ScaleCrop>
  <LinksUpToDate>false</LinksUpToDate>
  <CharactersWithSpaces>3921</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2018-12-28T10:44:00Z</dcterms:created>
  <dc:creator>Administrator</dc:creator>
  <cp:lastModifiedBy>HP</cp:lastModifiedBy>
  <cp:lastPrinted>2019-06-17T08:51:00Z</cp:lastPrinted>
  <dcterms:modified xsi:type="dcterms:W3CDTF">2023-10-30T04:31:20Z</dcterms:modified>
  <cp:revision>154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