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00" w:rsidRPr="00C00900" w:rsidRDefault="00C00900" w:rsidP="00C00900">
      <w:pPr>
        <w:widowControl/>
        <w:spacing w:before="100" w:beforeAutospacing="1" w:after="100" w:afterAutospacing="1" w:line="58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各公安分局、各区县（自治县）公安局，各区县（自治县）退役军人事务局、有关单位：</w:t>
      </w:r>
      <w:r w:rsidRPr="00C00900">
        <w:rPr>
          <w:rFonts w:ascii="仿宋_GB2312" w:eastAsia="仿宋_GB2312" w:hAnsi="Arial" w:cs="Arial" w:hint="eastAsia"/>
          <w:color w:val="000000"/>
          <w:kern w:val="0"/>
          <w:sz w:val="32"/>
          <w:szCs w:val="32"/>
        </w:rPr>
        <w:br/>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按照国家机构改革职能调整要求，将民政部门退役军人优抚安置职责，人力社保部门军官转业安置职责，以及军队有关职责整合，组建退役军人管理保障机构，本市和各区县（自治县）退役军人事务部门已成立。为加强公安与退役军人事务部门的工作协作，共同做好本市接收退役军人、无军籍职工及其随调随迁家属安置落户工作，根据《中华人民共和国兵役法》、《退役士兵安置条例》、《关于印发〈军队转业干部安置暂行办法〉的通知》（中发〔2001〕3号）、《关于改革期间现役干部转改文职人员工作有关问题的通知》（中办发〔2017〕65号）、《关于进一步做好军队离休退休干部移交政府安置管理工作的意见》（中办发〔2004〕2号）、《关于做好军队复员干部安置工作的通知》（〔1993〕政联字第1号）、《关于加强和改进军队无军籍退休退职职工移交安置工作的意见的通知》（民发〔2005〕135号）等法律法规和有关文件规定，现就有关事项通知如下：</w:t>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一、明确接收安置对象</w:t>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lastRenderedPageBreak/>
        <w:t>（一）军队转业干部（计划分配军队转业干部、自主择业军队转业干部、军队转改文职人员干部）、复员干部、退役士兵（义务兵、士官）和军休干部（军队离休退休干部）；</w:t>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（二）无军籍职工（军队无军籍退休退职职工）；</w:t>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（三）随调（迁）家属（</w:t>
      </w:r>
      <w:proofErr w:type="gramStart"/>
      <w:r w:rsidRPr="00C00900">
        <w:rPr>
          <w:rFonts w:ascii="仿宋_GB2312" w:eastAsia="仿宋_GB2312" w:hAnsi="Arial" w:cs="Arial" w:hint="eastAsia"/>
          <w:color w:val="000000"/>
          <w:kern w:val="0"/>
          <w:sz w:val="32"/>
          <w:szCs w:val="32"/>
        </w:rPr>
        <w:t>随军队</w:t>
      </w:r>
      <w:proofErr w:type="gramEnd"/>
      <w:r w:rsidRPr="00C00900">
        <w:rPr>
          <w:rFonts w:ascii="仿宋_GB2312" w:eastAsia="仿宋_GB2312" w:hAnsi="Arial" w:cs="Arial" w:hint="eastAsia"/>
          <w:color w:val="000000"/>
          <w:kern w:val="0"/>
          <w:sz w:val="32"/>
          <w:szCs w:val="32"/>
        </w:rPr>
        <w:t>转业干部随调随迁配偶、子女，复员干部、退役士官、军休干部和无军籍职工随迁配偶、子女）。</w:t>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二、规范落户介绍信</w:t>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退役军人事务局承担接收安置退役军人、无军籍职工的安置及服务保障职责，市、区县（自治县）退役军人接收安置部门严格按照规定开具统一规范的落户介绍信（详见附件）；公安派出所凭退役军人事务局（两江新区、万盛经开区、高新区的有关单位）盖章的落户介绍信等手续，按规定及时办理接收安置对象的户口登记；市、区县（自治县）公安机关职能部门做好指导监督管理工作。</w:t>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三、有关具体问题处理</w:t>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（一）退役军人、无军籍职工及其随调（迁）家属安置落户遵循不得跨区县（自治县）的原则。但对安置到本市主城区内工作的，可按规定在主城区城镇范围内跨区确定其落</w:t>
      </w:r>
      <w:r w:rsidRPr="00C00900">
        <w:rPr>
          <w:rFonts w:ascii="仿宋_GB2312" w:eastAsia="仿宋_GB2312" w:hAnsi="Arial" w:cs="Arial" w:hint="eastAsia"/>
          <w:color w:val="000000"/>
          <w:kern w:val="0"/>
          <w:sz w:val="32"/>
          <w:szCs w:val="32"/>
        </w:rPr>
        <w:lastRenderedPageBreak/>
        <w:t>户地；安置到中央、市直管单位下属区县（自治县）部门工作的，可在主城区的上级单位集体户或其城镇的配偶、父母、子女户口所在地确定其落户地。</w:t>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二）退役军人的公民身份号码、出生日期与入伍前户口登记信息不一致的，以入伍前户口信息为准进行登记；公安机关办理落户后，及时将有关情况反馈开具落户介绍信的退役军人事务局（两江新区、万盛经开区、高新区的有关单位）。</w:t>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（三）入伍高校在校学生（录取并保留入学资格）退役士兵复学的，由学校所在地区县（自治县）退役军人事务部门开具落户介绍信，在入伍前户口注销地或高校学生集体户口确定其落户地；</w:t>
      </w:r>
      <w:proofErr w:type="gramStart"/>
      <w:r w:rsidRPr="00C00900">
        <w:rPr>
          <w:rFonts w:ascii="仿宋_GB2312" w:eastAsia="仿宋_GB2312" w:hAnsi="Arial" w:cs="Arial" w:hint="eastAsia"/>
          <w:color w:val="000000"/>
          <w:kern w:val="0"/>
          <w:sz w:val="32"/>
          <w:szCs w:val="32"/>
        </w:rPr>
        <w:t>不</w:t>
      </w:r>
      <w:proofErr w:type="gramEnd"/>
      <w:r w:rsidRPr="00C00900">
        <w:rPr>
          <w:rFonts w:ascii="仿宋_GB2312" w:eastAsia="仿宋_GB2312" w:hAnsi="Arial" w:cs="Arial" w:hint="eastAsia"/>
          <w:color w:val="000000"/>
          <w:kern w:val="0"/>
          <w:sz w:val="32"/>
          <w:szCs w:val="32"/>
        </w:rPr>
        <w:t>复学的，由入学前户口所在地区县（自治县）退役军人事务部门接收安置落户。入伍高校应届毕业生退役士兵，由学校所在地区县（自治县）退役军人事务部门开具落户介绍信，在入学前户口所在地落户；对市外生源不能在入学前户口所在地落户且入伍时系高校学生集体户户口的，可在毕业高校学生集体户确定其落户地后，再由公安机关按高校毕业生户口迁移规定为其及时办理户口迁移。</w:t>
      </w:r>
    </w:p>
    <w:p w:rsidR="00C00900" w:rsidRPr="00C00900" w:rsidRDefault="00C00900" w:rsidP="00C00900">
      <w:pPr>
        <w:widowControl/>
        <w:spacing w:before="100" w:beforeAutospacing="1" w:after="100" w:afterAutospacing="1" w:line="55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各级公安机关和退役军人事务部门要加强工作协作，积极主动做好退役军人、无军籍职工及其随调（迁）家属安置落户工作；遇到具体问题，及时核实掌握情况，及时报告。</w:t>
      </w:r>
    </w:p>
    <w:p w:rsidR="00C00900" w:rsidRPr="00C00900" w:rsidRDefault="00C00900" w:rsidP="00C00900">
      <w:pPr>
        <w:widowControl/>
        <w:spacing w:before="100" w:beforeAutospacing="1" w:after="100" w:afterAutospacing="1" w:line="555" w:lineRule="atLeast"/>
        <w:ind w:left="1605"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lastRenderedPageBreak/>
        <w:t>附件：重庆市退役军人、无军籍职工及随调（迁）家属落户介绍信</w:t>
      </w:r>
    </w:p>
    <w:p w:rsidR="00C00900" w:rsidRPr="00C00900" w:rsidRDefault="00C00900" w:rsidP="00C00900">
      <w:pPr>
        <w:widowControl/>
        <w:shd w:val="clear" w:color="auto" w:fill="FFFFFF"/>
        <w:spacing w:before="100" w:beforeAutospacing="1" w:after="100" w:afterAutospacing="1" w:line="360"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 xml:space="preserve">重庆市公安局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重庆市退役军人事务局</w:t>
      </w:r>
    </w:p>
    <w:p w:rsidR="00C00900" w:rsidRPr="00C00900" w:rsidRDefault="00C00900" w:rsidP="00C00900">
      <w:pPr>
        <w:widowControl/>
        <w:shd w:val="clear" w:color="auto" w:fill="FFFFFF"/>
        <w:spacing w:before="100" w:beforeAutospacing="1" w:after="100" w:afterAutospacing="1" w:line="360"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2019年8月27日</w:t>
      </w:r>
    </w:p>
    <w:p w:rsidR="00C00900" w:rsidRPr="00C00900" w:rsidRDefault="00C00900" w:rsidP="00C00900">
      <w:pPr>
        <w:widowControl/>
        <w:spacing w:before="100" w:beforeAutospacing="1" w:after="100" w:afterAutospacing="1" w:line="37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 xml:space="preserve">附件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p>
    <w:p w:rsidR="00C00900" w:rsidRPr="00C00900" w:rsidRDefault="00C00900" w:rsidP="00C00900">
      <w:pPr>
        <w:widowControl/>
        <w:spacing w:before="100" w:beforeAutospacing="1" w:after="100" w:afterAutospacing="1" w:line="37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重庆市退役军人、无军籍职工及随调（迁）家属落户介绍信（存根）</w:t>
      </w:r>
    </w:p>
    <w:p w:rsidR="00C00900" w:rsidRPr="00C00900" w:rsidRDefault="00C00900" w:rsidP="00C00900">
      <w:pPr>
        <w:widowControl/>
        <w:spacing w:before="100" w:beforeAutospacing="1" w:after="100" w:afterAutospacing="1" w:line="345" w:lineRule="atLeast"/>
        <w:ind w:firstLine="630"/>
        <w:jc w:val="left"/>
        <w:rPr>
          <w:rFonts w:ascii="Arial" w:eastAsia="宋体" w:hAnsi="Arial" w:cs="Arial"/>
          <w:color w:val="000000"/>
          <w:kern w:val="0"/>
          <w:sz w:val="32"/>
          <w:szCs w:val="32"/>
        </w:rPr>
      </w:pPr>
      <w:proofErr w:type="gramStart"/>
      <w:r w:rsidRPr="00C00900">
        <w:rPr>
          <w:rFonts w:ascii="仿宋_GB2312" w:eastAsia="仿宋_GB2312" w:hAnsi="Arial" w:cs="Arial" w:hint="eastAsia"/>
          <w:color w:val="000000"/>
          <w:kern w:val="0"/>
          <w:sz w:val="32"/>
          <w:szCs w:val="32"/>
        </w:rPr>
        <w:t>渝退户介</w:t>
      </w:r>
      <w:proofErr w:type="gramEnd"/>
      <w:r w:rsidRPr="00C00900">
        <w:rPr>
          <w:rFonts w:ascii="仿宋_GB2312" w:eastAsia="仿宋_GB2312" w:hAnsi="Arial" w:cs="Arial" w:hint="eastAsia"/>
          <w:color w:val="000000"/>
          <w:kern w:val="0"/>
          <w:sz w:val="32"/>
          <w:szCs w:val="32"/>
        </w:rPr>
        <w:t xml:space="preserve">〔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xml:space="preserve">〕字第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号</w:t>
      </w:r>
    </w:p>
    <w:p w:rsidR="00C00900" w:rsidRPr="00C00900" w:rsidRDefault="00C00900" w:rsidP="00C00900">
      <w:pPr>
        <w:widowControl/>
        <w:spacing w:before="100" w:beforeAutospacing="1" w:after="100" w:afterAutospacing="1" w:line="345" w:lineRule="atLeast"/>
        <w:ind w:right="30"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区（县）公安（分）局：</w:t>
      </w:r>
    </w:p>
    <w:p w:rsidR="00C00900" w:rsidRPr="00C00900" w:rsidRDefault="00C00900" w:rsidP="00C00900">
      <w:pPr>
        <w:widowControl/>
        <w:spacing w:before="100" w:beforeAutospacing="1" w:after="100" w:afterAutospacing="1" w:line="345" w:lineRule="atLeast"/>
        <w:ind w:right="30"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根据退役军人及随调（迁）家属接收安置有关法律法规和文件规定，</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rPr>
        <w:t>同志（公民身份号码</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rPr>
        <w:t>）系（军队转业干部、复员干部、退役义务兵、退役士官、军休干部、无军籍职工），现因（计划分配工作、自主择业、转改文职、复员、安排工作、自主就业、国家供养、复职复工、退休、继续完成学业、</w:t>
      </w:r>
      <w:proofErr w:type="gramStart"/>
      <w:r w:rsidRPr="00C00900">
        <w:rPr>
          <w:rFonts w:ascii="仿宋_GB2312" w:eastAsia="仿宋_GB2312" w:hAnsi="Arial" w:cs="Arial" w:hint="eastAsia"/>
          <w:color w:val="000000"/>
          <w:kern w:val="0"/>
          <w:sz w:val="32"/>
          <w:szCs w:val="32"/>
        </w:rPr>
        <w:t>不</w:t>
      </w:r>
      <w:proofErr w:type="gramEnd"/>
      <w:r w:rsidRPr="00C00900">
        <w:rPr>
          <w:rFonts w:ascii="仿宋_GB2312" w:eastAsia="仿宋_GB2312" w:hAnsi="Arial" w:cs="Arial" w:hint="eastAsia"/>
          <w:color w:val="000000"/>
          <w:kern w:val="0"/>
          <w:sz w:val="32"/>
          <w:szCs w:val="32"/>
        </w:rPr>
        <w:t>复学、应届毕业生退役）安置在（单位或地址）</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rPr>
        <w:t>，请按规定办理落户。</w:t>
      </w:r>
    </w:p>
    <w:p w:rsidR="00C00900" w:rsidRPr="00C00900" w:rsidRDefault="00C00900" w:rsidP="00C00900">
      <w:pPr>
        <w:widowControl/>
        <w:spacing w:before="100" w:beforeAutospacing="1" w:after="100" w:afterAutospacing="1" w:line="345" w:lineRule="atLeast"/>
        <w:ind w:right="30"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lastRenderedPageBreak/>
        <w:t>附：随调(迁)家属名单：</w:t>
      </w:r>
    </w:p>
    <w:tbl>
      <w:tblPr>
        <w:tblW w:w="0" w:type="auto"/>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1353"/>
        <w:gridCol w:w="1064"/>
        <w:gridCol w:w="562"/>
        <w:gridCol w:w="1936"/>
        <w:gridCol w:w="1102"/>
        <w:gridCol w:w="2439"/>
      </w:tblGrid>
      <w:tr w:rsidR="00C00900" w:rsidRPr="00C00900" w:rsidTr="00C00900">
        <w:trPr>
          <w:trHeight w:val="930"/>
          <w:jc w:val="center"/>
        </w:trPr>
        <w:tc>
          <w:tcPr>
            <w:tcW w:w="14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与退役军人、无军籍职工关系</w:t>
            </w:r>
          </w:p>
        </w:tc>
        <w:tc>
          <w:tcPr>
            <w:tcW w:w="1140" w:type="dxa"/>
            <w:tcBorders>
              <w:top w:val="single" w:sz="6" w:space="0" w:color="auto"/>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姓名</w:t>
            </w:r>
          </w:p>
        </w:tc>
        <w:tc>
          <w:tcPr>
            <w:tcW w:w="570" w:type="dxa"/>
            <w:tcBorders>
              <w:top w:val="single" w:sz="6" w:space="0" w:color="auto"/>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性别</w:t>
            </w:r>
          </w:p>
        </w:tc>
        <w:tc>
          <w:tcPr>
            <w:tcW w:w="2130" w:type="dxa"/>
            <w:tcBorders>
              <w:top w:val="single" w:sz="6" w:space="0" w:color="auto"/>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公民身份号码</w:t>
            </w:r>
          </w:p>
        </w:tc>
        <w:tc>
          <w:tcPr>
            <w:tcW w:w="1140" w:type="dxa"/>
            <w:tcBorders>
              <w:top w:val="single" w:sz="6" w:space="0" w:color="auto"/>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落户理由（随调或随迁）</w:t>
            </w:r>
          </w:p>
        </w:tc>
        <w:tc>
          <w:tcPr>
            <w:tcW w:w="2700" w:type="dxa"/>
            <w:tcBorders>
              <w:top w:val="single" w:sz="6" w:space="0" w:color="auto"/>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落户地址</w:t>
            </w:r>
          </w:p>
        </w:tc>
      </w:tr>
      <w:tr w:rsidR="00C00900" w:rsidRPr="00C00900" w:rsidTr="00C00900">
        <w:trPr>
          <w:jc w:val="center"/>
        </w:trPr>
        <w:tc>
          <w:tcPr>
            <w:tcW w:w="1425"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57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270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r>
      <w:tr w:rsidR="00C00900" w:rsidRPr="00C00900" w:rsidTr="00C00900">
        <w:trPr>
          <w:jc w:val="center"/>
        </w:trPr>
        <w:tc>
          <w:tcPr>
            <w:tcW w:w="1425"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57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270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r>
      <w:tr w:rsidR="00C00900" w:rsidRPr="00C00900" w:rsidTr="00C00900">
        <w:trPr>
          <w:jc w:val="center"/>
        </w:trPr>
        <w:tc>
          <w:tcPr>
            <w:tcW w:w="1425"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57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213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270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r>
    </w:tbl>
    <w:p w:rsidR="00C00900" w:rsidRPr="00C00900" w:rsidRDefault="00C00900" w:rsidP="00C00900">
      <w:pPr>
        <w:widowControl/>
        <w:spacing w:before="100" w:beforeAutospacing="1" w:after="100" w:afterAutospacing="1" w:line="345" w:lineRule="atLeast"/>
        <w:ind w:right="30"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退役军人事务局</w:t>
      </w:r>
    </w:p>
    <w:p w:rsidR="00C00900" w:rsidRPr="00C00900" w:rsidRDefault="00C00900" w:rsidP="00C00900">
      <w:pPr>
        <w:widowControl/>
        <w:spacing w:before="100" w:beforeAutospacing="1" w:after="100" w:afterAutospacing="1" w:line="345" w:lineRule="atLeast"/>
        <w:ind w:right="30"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 xml:space="preserve">20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xml:space="preserve">年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xml:space="preserve">月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日</w:t>
      </w:r>
    </w:p>
    <w:p w:rsidR="00C00900" w:rsidRPr="00C00900" w:rsidRDefault="00C00900" w:rsidP="00C00900">
      <w:pPr>
        <w:widowControl/>
        <w:spacing w:before="100" w:beforeAutospacing="1" w:after="100" w:afterAutospacing="1" w:line="34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w:t>
      </w:r>
      <w:proofErr w:type="gramStart"/>
      <w:r w:rsidRPr="00C00900">
        <w:rPr>
          <w:rFonts w:ascii="仿宋_GB2312" w:eastAsia="仿宋_GB2312" w:hAnsi="Arial" w:cs="Arial" w:hint="eastAsia"/>
          <w:color w:val="000000"/>
          <w:kern w:val="0"/>
          <w:sz w:val="32"/>
          <w:szCs w:val="32"/>
        </w:rPr>
        <w:t>————————————————————————————————————————</w:t>
      </w:r>
      <w:proofErr w:type="gramEnd"/>
    </w:p>
    <w:p w:rsidR="00C00900" w:rsidRPr="00C00900" w:rsidRDefault="00C00900" w:rsidP="00C00900">
      <w:pPr>
        <w:widowControl/>
        <w:spacing w:before="100" w:beforeAutospacing="1" w:after="100" w:afterAutospacing="1" w:line="345" w:lineRule="atLeast"/>
        <w:ind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重庆市退役军人、无军籍职工及随调（迁）家属落户介绍信</w:t>
      </w:r>
    </w:p>
    <w:p w:rsidR="00C00900" w:rsidRPr="00C00900" w:rsidRDefault="00C00900" w:rsidP="00C00900">
      <w:pPr>
        <w:widowControl/>
        <w:spacing w:before="100" w:beforeAutospacing="1" w:after="100" w:afterAutospacing="1" w:line="345" w:lineRule="atLeast"/>
        <w:ind w:firstLine="630"/>
        <w:jc w:val="left"/>
        <w:rPr>
          <w:rFonts w:ascii="Arial" w:eastAsia="宋体" w:hAnsi="Arial" w:cs="Arial"/>
          <w:color w:val="000000"/>
          <w:kern w:val="0"/>
          <w:sz w:val="32"/>
          <w:szCs w:val="32"/>
        </w:rPr>
      </w:pPr>
      <w:proofErr w:type="gramStart"/>
      <w:r w:rsidRPr="00C00900">
        <w:rPr>
          <w:rFonts w:ascii="仿宋_GB2312" w:eastAsia="仿宋_GB2312" w:hAnsi="Arial" w:cs="Arial" w:hint="eastAsia"/>
          <w:color w:val="000000"/>
          <w:kern w:val="0"/>
          <w:sz w:val="32"/>
          <w:szCs w:val="32"/>
        </w:rPr>
        <w:t>渝退户介</w:t>
      </w:r>
      <w:proofErr w:type="gramEnd"/>
      <w:r w:rsidRPr="00C00900">
        <w:rPr>
          <w:rFonts w:ascii="仿宋_GB2312" w:eastAsia="仿宋_GB2312" w:hAnsi="Arial" w:cs="Arial" w:hint="eastAsia"/>
          <w:color w:val="000000"/>
          <w:kern w:val="0"/>
          <w:sz w:val="32"/>
          <w:szCs w:val="32"/>
        </w:rPr>
        <w:t xml:space="preserve">〔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xml:space="preserve">〕字第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号</w:t>
      </w:r>
    </w:p>
    <w:p w:rsidR="00C00900" w:rsidRPr="00C00900" w:rsidRDefault="00C00900" w:rsidP="00C00900">
      <w:pPr>
        <w:widowControl/>
        <w:spacing w:before="100" w:beforeAutospacing="1" w:after="100" w:afterAutospacing="1" w:line="345" w:lineRule="atLeast"/>
        <w:ind w:right="30"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区（县）公安（分）局：</w:t>
      </w:r>
    </w:p>
    <w:p w:rsidR="00C00900" w:rsidRPr="00C00900" w:rsidRDefault="00C00900" w:rsidP="00C00900">
      <w:pPr>
        <w:widowControl/>
        <w:spacing w:before="100" w:beforeAutospacing="1" w:after="100" w:afterAutospacing="1" w:line="345" w:lineRule="atLeast"/>
        <w:ind w:right="30"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根据退役军人及随调（迁）家属接收安置有关法律法规和文件规定，</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rPr>
        <w:t>同志（公民身份号</w:t>
      </w:r>
      <w:r w:rsidRPr="00C00900">
        <w:rPr>
          <w:rFonts w:ascii="仿宋_GB2312" w:eastAsia="仿宋_GB2312" w:hAnsi="Arial" w:cs="Arial" w:hint="eastAsia"/>
          <w:color w:val="000000"/>
          <w:kern w:val="0"/>
          <w:sz w:val="32"/>
          <w:szCs w:val="32"/>
        </w:rPr>
        <w:lastRenderedPageBreak/>
        <w:t>码</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rPr>
        <w:t>）系（军队转业干部、复员干部、退役义务兵、退役士官、军休干部、无军籍职工），现因（计划分配工作、自主择业、转改文职、复员、安排工作、自主就业、国家供养、复职复工、退休、继续完成学业、</w:t>
      </w:r>
      <w:proofErr w:type="gramStart"/>
      <w:r w:rsidRPr="00C00900">
        <w:rPr>
          <w:rFonts w:ascii="仿宋_GB2312" w:eastAsia="仿宋_GB2312" w:hAnsi="Arial" w:cs="Arial" w:hint="eastAsia"/>
          <w:color w:val="000000"/>
          <w:kern w:val="0"/>
          <w:sz w:val="32"/>
          <w:szCs w:val="32"/>
        </w:rPr>
        <w:t>不</w:t>
      </w:r>
      <w:proofErr w:type="gramEnd"/>
      <w:r w:rsidRPr="00C00900">
        <w:rPr>
          <w:rFonts w:ascii="仿宋_GB2312" w:eastAsia="仿宋_GB2312" w:hAnsi="Arial" w:cs="Arial" w:hint="eastAsia"/>
          <w:color w:val="000000"/>
          <w:kern w:val="0"/>
          <w:sz w:val="32"/>
          <w:szCs w:val="32"/>
        </w:rPr>
        <w:t>复学、应届毕业生退役）安置在（单位或地址）</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u w:val="single"/>
        </w:rPr>
        <w:t> </w:t>
      </w:r>
      <w:r w:rsidRPr="00C00900">
        <w:rPr>
          <w:rFonts w:ascii="仿宋_GB2312" w:eastAsia="仿宋_GB2312" w:hAnsi="Arial" w:cs="Arial" w:hint="eastAsia"/>
          <w:color w:val="000000"/>
          <w:kern w:val="0"/>
          <w:sz w:val="32"/>
          <w:szCs w:val="32"/>
        </w:rPr>
        <w:t>，请按规定办理落户。</w:t>
      </w:r>
    </w:p>
    <w:p w:rsidR="00C00900" w:rsidRPr="00C00900" w:rsidRDefault="00C00900" w:rsidP="00C00900">
      <w:pPr>
        <w:widowControl/>
        <w:spacing w:before="100" w:beforeAutospacing="1" w:after="100" w:afterAutospacing="1" w:line="345" w:lineRule="atLeast"/>
        <w:ind w:right="30"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附：随调（迁）家属名单：</w:t>
      </w:r>
    </w:p>
    <w:tbl>
      <w:tblPr>
        <w:tblW w:w="0" w:type="auto"/>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1362"/>
        <w:gridCol w:w="1073"/>
        <w:gridCol w:w="500"/>
        <w:gridCol w:w="1704"/>
        <w:gridCol w:w="1106"/>
        <w:gridCol w:w="2711"/>
      </w:tblGrid>
      <w:tr w:rsidR="00C00900" w:rsidRPr="00C00900" w:rsidTr="00C00900">
        <w:trPr>
          <w:jc w:val="center"/>
        </w:trPr>
        <w:tc>
          <w:tcPr>
            <w:tcW w:w="14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与退役军人、无军籍职工关系</w:t>
            </w:r>
          </w:p>
        </w:tc>
        <w:tc>
          <w:tcPr>
            <w:tcW w:w="1140" w:type="dxa"/>
            <w:tcBorders>
              <w:top w:val="single" w:sz="6" w:space="0" w:color="auto"/>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姓名</w:t>
            </w:r>
          </w:p>
        </w:tc>
        <w:tc>
          <w:tcPr>
            <w:tcW w:w="420" w:type="dxa"/>
            <w:tcBorders>
              <w:top w:val="single" w:sz="6" w:space="0" w:color="auto"/>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性别</w:t>
            </w:r>
          </w:p>
        </w:tc>
        <w:tc>
          <w:tcPr>
            <w:tcW w:w="1845" w:type="dxa"/>
            <w:tcBorders>
              <w:top w:val="single" w:sz="6" w:space="0" w:color="auto"/>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公民身份号码</w:t>
            </w:r>
          </w:p>
        </w:tc>
        <w:tc>
          <w:tcPr>
            <w:tcW w:w="1140" w:type="dxa"/>
            <w:tcBorders>
              <w:top w:val="single" w:sz="6" w:space="0" w:color="auto"/>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落户理由（随调或随迁）</w:t>
            </w:r>
          </w:p>
        </w:tc>
        <w:tc>
          <w:tcPr>
            <w:tcW w:w="2970" w:type="dxa"/>
            <w:tcBorders>
              <w:top w:val="single" w:sz="6" w:space="0" w:color="auto"/>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spacing w:line="345" w:lineRule="atLeast"/>
              <w:ind w:right="30" w:firstLine="480"/>
              <w:jc w:val="left"/>
              <w:rPr>
                <w:rFonts w:ascii="Arial" w:eastAsia="宋体" w:hAnsi="Arial" w:cs="Arial"/>
                <w:color w:val="000000"/>
                <w:kern w:val="0"/>
                <w:sz w:val="27"/>
                <w:szCs w:val="27"/>
              </w:rPr>
            </w:pPr>
            <w:r w:rsidRPr="00C00900">
              <w:rPr>
                <w:rFonts w:ascii="仿宋_GB2312" w:eastAsia="仿宋_GB2312" w:hAnsi="Arial" w:cs="Arial" w:hint="eastAsia"/>
                <w:color w:val="000000"/>
                <w:kern w:val="0"/>
                <w:sz w:val="32"/>
                <w:szCs w:val="32"/>
              </w:rPr>
              <w:t>落户地址</w:t>
            </w:r>
          </w:p>
        </w:tc>
      </w:tr>
      <w:tr w:rsidR="00C00900" w:rsidRPr="00C00900" w:rsidTr="00C00900">
        <w:trPr>
          <w:jc w:val="center"/>
        </w:trPr>
        <w:tc>
          <w:tcPr>
            <w:tcW w:w="1425"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42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845"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297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r>
      <w:tr w:rsidR="00C00900" w:rsidRPr="00C00900" w:rsidTr="00C00900">
        <w:trPr>
          <w:jc w:val="center"/>
        </w:trPr>
        <w:tc>
          <w:tcPr>
            <w:tcW w:w="1425"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42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845"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297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r>
      <w:tr w:rsidR="00C00900" w:rsidRPr="00C00900" w:rsidTr="00C00900">
        <w:trPr>
          <w:jc w:val="center"/>
        </w:trPr>
        <w:tc>
          <w:tcPr>
            <w:tcW w:w="1425" w:type="dxa"/>
            <w:tcBorders>
              <w:top w:val="nil"/>
              <w:left w:val="single" w:sz="6" w:space="0" w:color="auto"/>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42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845"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114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c>
          <w:tcPr>
            <w:tcW w:w="2970" w:type="dxa"/>
            <w:tcBorders>
              <w:top w:val="nil"/>
              <w:left w:val="nil"/>
              <w:bottom w:val="single" w:sz="6" w:space="0" w:color="auto"/>
              <w:right w:val="single" w:sz="6" w:space="0" w:color="auto"/>
            </w:tcBorders>
            <w:tcMar>
              <w:top w:w="75" w:type="dxa"/>
              <w:left w:w="75" w:type="dxa"/>
              <w:bottom w:w="75" w:type="dxa"/>
              <w:right w:w="75" w:type="dxa"/>
            </w:tcMar>
            <w:hideMark/>
          </w:tcPr>
          <w:p w:rsidR="00C00900" w:rsidRPr="00C00900" w:rsidRDefault="00C00900" w:rsidP="00C00900">
            <w:pPr>
              <w:widowControl/>
              <w:wordWrap w:val="0"/>
              <w:jc w:val="left"/>
              <w:rPr>
                <w:rFonts w:ascii="Arial" w:eastAsia="宋体" w:hAnsi="Arial" w:cs="Arial"/>
                <w:color w:val="000000"/>
                <w:kern w:val="0"/>
                <w:sz w:val="27"/>
                <w:szCs w:val="27"/>
              </w:rPr>
            </w:pPr>
          </w:p>
        </w:tc>
      </w:tr>
    </w:tbl>
    <w:p w:rsidR="00C00900" w:rsidRPr="00C00900" w:rsidRDefault="00C00900" w:rsidP="00C00900">
      <w:pPr>
        <w:widowControl/>
        <w:spacing w:before="100" w:beforeAutospacing="1" w:after="100" w:afterAutospacing="1" w:line="345" w:lineRule="atLeast"/>
        <w:ind w:right="30"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退役军</w:t>
      </w:r>
      <w:bookmarkStart w:id="0" w:name="_GoBack"/>
      <w:bookmarkEnd w:id="0"/>
      <w:r w:rsidRPr="00C00900">
        <w:rPr>
          <w:rFonts w:ascii="仿宋_GB2312" w:eastAsia="仿宋_GB2312" w:hAnsi="Arial" w:cs="Arial" w:hint="eastAsia"/>
          <w:color w:val="000000"/>
          <w:kern w:val="0"/>
          <w:sz w:val="32"/>
          <w:szCs w:val="32"/>
        </w:rPr>
        <w:t>人事务局（盖章）</w:t>
      </w:r>
    </w:p>
    <w:p w:rsidR="00C00900" w:rsidRPr="00C00900" w:rsidRDefault="00C00900" w:rsidP="00C00900">
      <w:pPr>
        <w:widowControl/>
        <w:spacing w:before="100" w:beforeAutospacing="1" w:after="100" w:afterAutospacing="1" w:line="345" w:lineRule="atLeast"/>
        <w:ind w:right="30" w:firstLine="630"/>
        <w:jc w:val="left"/>
        <w:rPr>
          <w:rFonts w:ascii="Arial" w:eastAsia="宋体" w:hAnsi="Arial" w:cs="Arial"/>
          <w:color w:val="000000"/>
          <w:kern w:val="0"/>
          <w:sz w:val="32"/>
          <w:szCs w:val="32"/>
        </w:rPr>
      </w:pPr>
      <w:r w:rsidRPr="00C00900">
        <w:rPr>
          <w:rFonts w:ascii="仿宋_GB2312" w:eastAsia="仿宋_GB2312" w:hAnsi="Arial" w:cs="Arial" w:hint="eastAsia"/>
          <w:color w:val="000000"/>
          <w:kern w:val="0"/>
          <w:sz w:val="32"/>
          <w:szCs w:val="32"/>
        </w:rPr>
        <w:t xml:space="preserve">20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xml:space="preserve">年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w:t>
      </w:r>
      <w:r w:rsidRPr="00C00900">
        <w:rPr>
          <w:rFonts w:ascii="仿宋_GB2312" w:eastAsia="仿宋_GB2312" w:hAnsi="Arial" w:cs="Arial" w:hint="eastAsia"/>
          <w:color w:val="000000"/>
          <w:kern w:val="0"/>
          <w:sz w:val="32"/>
          <w:szCs w:val="32"/>
        </w:rPr>
        <w:t xml:space="preserve">月 </w:t>
      </w:r>
      <w:r w:rsidRPr="00C00900">
        <w:rPr>
          <w:rFonts w:ascii="仿宋_GB2312" w:eastAsia="仿宋_GB2312" w:hAnsi="Arial" w:cs="Arial" w:hint="eastAsia"/>
          <w:color w:val="000000"/>
          <w:kern w:val="0"/>
          <w:sz w:val="32"/>
          <w:szCs w:val="32"/>
        </w:rPr>
        <w:t> </w:t>
      </w:r>
    </w:p>
    <w:p w:rsidR="005D598F" w:rsidRDefault="005D598F"/>
    <w:sectPr w:rsidR="005D5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FB" w:rsidRDefault="006100FB" w:rsidP="00C00900">
      <w:r>
        <w:separator/>
      </w:r>
    </w:p>
  </w:endnote>
  <w:endnote w:type="continuationSeparator" w:id="0">
    <w:p w:rsidR="006100FB" w:rsidRDefault="006100FB" w:rsidP="00C0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FB" w:rsidRDefault="006100FB" w:rsidP="00C00900">
      <w:r>
        <w:separator/>
      </w:r>
    </w:p>
  </w:footnote>
  <w:footnote w:type="continuationSeparator" w:id="0">
    <w:p w:rsidR="006100FB" w:rsidRDefault="006100FB" w:rsidP="00C00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3D"/>
    <w:rsid w:val="0020133D"/>
    <w:rsid w:val="005D598F"/>
    <w:rsid w:val="006100FB"/>
    <w:rsid w:val="00C00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09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0900"/>
    <w:rPr>
      <w:sz w:val="18"/>
      <w:szCs w:val="18"/>
    </w:rPr>
  </w:style>
  <w:style w:type="paragraph" w:styleId="a4">
    <w:name w:val="footer"/>
    <w:basedOn w:val="a"/>
    <w:link w:val="Char0"/>
    <w:uiPriority w:val="99"/>
    <w:unhideWhenUsed/>
    <w:rsid w:val="00C00900"/>
    <w:pPr>
      <w:tabs>
        <w:tab w:val="center" w:pos="4153"/>
        <w:tab w:val="right" w:pos="8306"/>
      </w:tabs>
      <w:snapToGrid w:val="0"/>
      <w:jc w:val="left"/>
    </w:pPr>
    <w:rPr>
      <w:sz w:val="18"/>
      <w:szCs w:val="18"/>
    </w:rPr>
  </w:style>
  <w:style w:type="character" w:customStyle="1" w:styleId="Char0">
    <w:name w:val="页脚 Char"/>
    <w:basedOn w:val="a0"/>
    <w:link w:val="a4"/>
    <w:uiPriority w:val="99"/>
    <w:rsid w:val="00C00900"/>
    <w:rPr>
      <w:sz w:val="18"/>
      <w:szCs w:val="18"/>
    </w:rPr>
  </w:style>
  <w:style w:type="paragraph" w:styleId="a5">
    <w:name w:val="Normal (Web)"/>
    <w:basedOn w:val="a"/>
    <w:uiPriority w:val="99"/>
    <w:unhideWhenUsed/>
    <w:rsid w:val="00C0090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09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0900"/>
    <w:rPr>
      <w:sz w:val="18"/>
      <w:szCs w:val="18"/>
    </w:rPr>
  </w:style>
  <w:style w:type="paragraph" w:styleId="a4">
    <w:name w:val="footer"/>
    <w:basedOn w:val="a"/>
    <w:link w:val="Char0"/>
    <w:uiPriority w:val="99"/>
    <w:unhideWhenUsed/>
    <w:rsid w:val="00C00900"/>
    <w:pPr>
      <w:tabs>
        <w:tab w:val="center" w:pos="4153"/>
        <w:tab w:val="right" w:pos="8306"/>
      </w:tabs>
      <w:snapToGrid w:val="0"/>
      <w:jc w:val="left"/>
    </w:pPr>
    <w:rPr>
      <w:sz w:val="18"/>
      <w:szCs w:val="18"/>
    </w:rPr>
  </w:style>
  <w:style w:type="character" w:customStyle="1" w:styleId="Char0">
    <w:name w:val="页脚 Char"/>
    <w:basedOn w:val="a0"/>
    <w:link w:val="a4"/>
    <w:uiPriority w:val="99"/>
    <w:rsid w:val="00C00900"/>
    <w:rPr>
      <w:sz w:val="18"/>
      <w:szCs w:val="18"/>
    </w:rPr>
  </w:style>
  <w:style w:type="paragraph" w:styleId="a5">
    <w:name w:val="Normal (Web)"/>
    <w:basedOn w:val="a"/>
    <w:uiPriority w:val="99"/>
    <w:unhideWhenUsed/>
    <w:rsid w:val="00C009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公安分局普通用户</dc:creator>
  <cp:keywords/>
  <dc:description/>
  <cp:lastModifiedBy>公安分局普通用户</cp:lastModifiedBy>
  <cp:revision>2</cp:revision>
  <dcterms:created xsi:type="dcterms:W3CDTF">2022-10-21T03:15:00Z</dcterms:created>
  <dcterms:modified xsi:type="dcterms:W3CDTF">2022-10-21T03:15:00Z</dcterms:modified>
</cp:coreProperties>
</file>