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hd w:val="solid" w:color="FFFFFF" w:fill="auto"/>
        <w:wordWrap/>
        <w:autoSpaceDN w:val="0"/>
        <w:adjustRightInd/>
        <w:snapToGrid/>
        <w:spacing w:before="0" w:beforeAutospacing="0" w:after="0" w:afterAutospacing="0" w:line="560" w:lineRule="exact"/>
        <w:ind w:left="0" w:leftChars="0" w:right="0"/>
        <w:jc w:val="center"/>
        <w:textAlignment w:val="auto"/>
        <w:outlineLvl w:val="9"/>
        <w:rPr>
          <w:rFonts w:hint="eastAsia" w:ascii="方正小标宋_GBK" w:hAnsi="方正小标宋_GBK" w:eastAsia="方正小标宋_GBK" w:cs="方正小标宋_GBK"/>
          <w:b w:val="0"/>
          <w:bCs w:val="0"/>
          <w:sz w:val="44"/>
          <w:szCs w:val="44"/>
          <w:lang w:eastAsia="zh-CN"/>
        </w:rPr>
      </w:pPr>
      <w:bookmarkStart w:id="0" w:name="_GoBack"/>
      <w:r>
        <w:rPr>
          <w:rFonts w:hint="eastAsia" w:ascii="方正小标宋_GBK" w:hAnsi="方正小标宋_GBK" w:eastAsia="方正小标宋_GBK" w:cs="方正小标宋_GBK"/>
          <w:b w:val="0"/>
          <w:bCs w:val="0"/>
          <w:sz w:val="44"/>
          <w:szCs w:val="44"/>
          <w:lang w:eastAsia="zh-CN"/>
        </w:rPr>
        <w:t>关于沙坪坝区路内停车位重点管理区域和一般管理区域划分情况的公告</w:t>
      </w:r>
      <w:bookmarkEnd w:id="0"/>
    </w:p>
    <w:p>
      <w:pPr>
        <w:widowControl w:val="0"/>
        <w:shd w:val="solid" w:color="FFFFFF" w:fill="auto"/>
        <w:wordWrap/>
        <w:autoSpaceDN w:val="0"/>
        <w:adjustRightInd/>
        <w:snapToGrid/>
        <w:spacing w:before="0" w:beforeAutospacing="0" w:after="0" w:afterAutospacing="0" w:line="560" w:lineRule="exact"/>
        <w:ind w:left="0" w:leftChars="0" w:right="0" w:firstLine="0" w:firstLineChars="0"/>
        <w:jc w:val="left"/>
        <w:textAlignment w:val="auto"/>
        <w:outlineLvl w:val="9"/>
        <w:rPr>
          <w:rFonts w:hint="eastAsia" w:ascii="方正仿宋_GBK" w:eastAsia="方正仿宋_GBK"/>
          <w:sz w:val="32"/>
          <w:lang w:val="en-US" w:eastAsia="zh-CN"/>
        </w:rPr>
      </w:pPr>
    </w:p>
    <w:p>
      <w:pPr>
        <w:numPr>
          <w:numId w:val="0"/>
        </w:numPr>
        <w:rPr>
          <w:rFonts w:hint="eastAsia" w:ascii="方正仿宋_GBK" w:eastAsia="方正仿宋_GBK"/>
          <w:sz w:val="32"/>
          <w:lang w:eastAsia="zh-CN"/>
        </w:rPr>
      </w:pPr>
      <w:r>
        <w:rPr>
          <w:rFonts w:hint="eastAsia" w:ascii="方正仿宋_GBK" w:hAnsi="宋体" w:eastAsia="方正仿宋_GBK" w:cs="宋体"/>
          <w:color w:val="000000"/>
          <w:kern w:val="0"/>
          <w:sz w:val="32"/>
          <w:szCs w:val="24"/>
          <w:lang w:val="en-US" w:eastAsia="zh-CN" w:bidi="ar-SA"/>
        </w:rPr>
        <w:t xml:space="preserve">    为缓解道路交通拥堵状况，合理调控出行停车需求，提高路内停车位（即在城市道路红线范围内设置的停车位）周转率，按照市发改委对路内停车位停放服务收费政策调整的相关要求，现对我区机动车路内停车管理区域按照重点管理区域和一般管理区域进行了划分，后续将根据市级文件要求对重点管理区域和一般管理区域停车施行差异化收费。</w:t>
      </w:r>
      <w:r>
        <w:rPr>
          <w:rFonts w:hint="eastAsia" w:ascii="方正仿宋_GBK" w:eastAsia="方正仿宋_GBK"/>
          <w:sz w:val="32"/>
          <w:lang w:eastAsia="zh-CN"/>
        </w:rPr>
        <w:t>具体划分情况公告如下：</w:t>
      </w:r>
    </w:p>
    <w:p>
      <w:pPr>
        <w:numPr>
          <w:ilvl w:val="0"/>
          <w:numId w:val="1"/>
        </w:numPr>
        <w:ind w:firstLine="640"/>
        <w:rPr>
          <w:rFonts w:hint="eastAsia" w:ascii="方正黑体_GBK" w:hAnsi="方正黑体_GBK" w:eastAsia="方正黑体_GBK" w:cs="方正黑体_GBK"/>
          <w:color w:val="000000"/>
          <w:kern w:val="0"/>
          <w:sz w:val="36"/>
          <w:szCs w:val="36"/>
          <w:lang w:val="en-US" w:eastAsia="zh-CN" w:bidi="ar-SA"/>
        </w:rPr>
      </w:pPr>
      <w:r>
        <w:rPr>
          <w:rFonts w:hint="eastAsia" w:ascii="方正黑体_GBK" w:hAnsi="方正黑体_GBK" w:eastAsia="方正黑体_GBK" w:cs="方正黑体_GBK"/>
          <w:color w:val="000000"/>
          <w:kern w:val="0"/>
          <w:sz w:val="36"/>
          <w:szCs w:val="36"/>
          <w:lang w:val="en-US" w:eastAsia="zh-CN" w:bidi="ar-SA"/>
        </w:rPr>
        <w:t>重点管理区域</w:t>
      </w:r>
    </w:p>
    <w:p>
      <w:pPr>
        <w:numPr>
          <w:numId w:val="0"/>
        </w:numPr>
        <w:rPr>
          <w:rFonts w:hint="eastAsia" w:ascii="方正仿宋_GBK" w:hAnsi="宋体" w:eastAsia="方正仿宋_GBK" w:cs="宋体"/>
          <w:color w:val="000000"/>
          <w:kern w:val="0"/>
          <w:sz w:val="32"/>
          <w:szCs w:val="24"/>
          <w:lang w:val="en-US" w:eastAsia="zh-CN" w:bidi="ar-SA"/>
        </w:rPr>
      </w:pPr>
      <w:r>
        <w:rPr>
          <w:rFonts w:hint="eastAsia" w:ascii="方正仿宋_GBK" w:hAnsi="宋体" w:eastAsia="方正仿宋_GBK" w:cs="宋体"/>
          <w:color w:val="000000"/>
          <w:kern w:val="0"/>
          <w:sz w:val="32"/>
          <w:szCs w:val="24"/>
          <w:lang w:val="en-US" w:eastAsia="zh-CN" w:bidi="ar-SA"/>
        </w:rPr>
        <w:t xml:space="preserve">    小龙坎新街-南开下穿道-天陈路-站东路闭环区域以内的路内停车位。</w:t>
      </w:r>
    </w:p>
    <w:p>
      <w:pPr>
        <w:numPr>
          <w:ilvl w:val="0"/>
          <w:numId w:val="1"/>
        </w:numPr>
        <w:ind w:firstLine="640" w:firstLineChars="0"/>
        <w:rPr>
          <w:rFonts w:hint="eastAsia" w:ascii="方正黑体_GBK" w:hAnsi="方正黑体_GBK" w:eastAsia="方正黑体_GBK" w:cs="方正黑体_GBK"/>
          <w:color w:val="000000"/>
          <w:kern w:val="0"/>
          <w:sz w:val="36"/>
          <w:szCs w:val="36"/>
          <w:lang w:val="en-US" w:eastAsia="zh-CN" w:bidi="ar-SA"/>
        </w:rPr>
      </w:pPr>
      <w:r>
        <w:rPr>
          <w:rFonts w:hint="eastAsia" w:ascii="方正黑体_GBK" w:hAnsi="方正黑体_GBK" w:eastAsia="方正黑体_GBK" w:cs="方正黑体_GBK"/>
          <w:color w:val="000000"/>
          <w:kern w:val="0"/>
          <w:sz w:val="36"/>
          <w:szCs w:val="36"/>
          <w:lang w:val="en-US" w:eastAsia="zh-CN" w:bidi="ar-SA"/>
        </w:rPr>
        <w:t>一般管理区域</w:t>
      </w:r>
    </w:p>
    <w:p>
      <w:pPr>
        <w:numPr>
          <w:numId w:val="0"/>
        </w:numPr>
        <w:ind w:firstLine="640"/>
        <w:rPr>
          <w:rFonts w:hint="eastAsia" w:ascii="方正仿宋_GBK" w:hAnsi="宋体" w:eastAsia="方正仿宋_GBK" w:cs="宋体"/>
          <w:color w:val="000000"/>
          <w:kern w:val="0"/>
          <w:sz w:val="32"/>
          <w:szCs w:val="24"/>
          <w:lang w:val="en-US" w:eastAsia="zh-CN" w:bidi="ar-SA"/>
        </w:rPr>
      </w:pPr>
      <w:r>
        <w:rPr>
          <w:rFonts w:hint="eastAsia" w:ascii="方正仿宋_GBK" w:hAnsi="宋体" w:eastAsia="方正仿宋_GBK" w:cs="宋体"/>
          <w:color w:val="000000"/>
          <w:kern w:val="0"/>
          <w:sz w:val="32"/>
          <w:szCs w:val="24"/>
          <w:lang w:val="en-US" w:eastAsia="zh-CN" w:bidi="ar-SA"/>
        </w:rPr>
        <w:t>除重点管理区域以外的路内停车位。</w:t>
      </w:r>
    </w:p>
    <w:p>
      <w:pPr>
        <w:numPr>
          <w:numId w:val="0"/>
        </w:numPr>
        <w:ind w:firstLine="640"/>
        <w:rPr>
          <w:rFonts w:hint="eastAsia" w:ascii="方正仿宋_GBK" w:hAnsi="宋体" w:eastAsia="方正仿宋_GBK" w:cs="宋体"/>
          <w:color w:val="000000"/>
          <w:kern w:val="0"/>
          <w:sz w:val="32"/>
          <w:szCs w:val="24"/>
          <w:lang w:val="en-US" w:eastAsia="zh-CN" w:bidi="ar-SA"/>
        </w:rPr>
      </w:pPr>
      <w:r>
        <w:rPr>
          <w:rFonts w:hint="eastAsia" w:ascii="方正仿宋_GBK" w:hAnsi="宋体" w:eastAsia="方正仿宋_GBK" w:cs="宋体"/>
          <w:color w:val="000000"/>
          <w:kern w:val="0"/>
          <w:sz w:val="32"/>
          <w:szCs w:val="24"/>
          <w:lang w:val="en-US" w:eastAsia="zh-CN" w:bidi="ar-SA"/>
        </w:rPr>
        <w:t>本划分标准至公告公布之日起执行。</w:t>
      </w:r>
    </w:p>
    <w:p>
      <w:pPr>
        <w:spacing w:line="594" w:lineRule="exact"/>
        <w:ind w:firstLine="640" w:firstLineChars="200"/>
        <w:rPr>
          <w:rFonts w:hint="eastAsia" w:ascii="方正仿宋_GBK" w:eastAsia="方正仿宋_GBK"/>
          <w:sz w:val="32"/>
          <w:lang w:eastAsia="zh-CN"/>
        </w:rPr>
      </w:pPr>
      <w:r>
        <w:rPr>
          <w:rFonts w:hint="eastAsia" w:ascii="Times New Roman" w:hAnsi="Times New Roman" w:eastAsia="方正仿宋_GBK" w:cs="Times New Roman"/>
          <w:sz w:val="32"/>
          <w:lang w:val="en-US" w:eastAsia="zh-CN"/>
        </w:rPr>
        <w:t>特此公告。</w:t>
      </w:r>
    </w:p>
    <w:p>
      <w:pPr>
        <w:widowControl w:val="0"/>
        <w:wordWrap/>
        <w:adjustRightInd/>
        <w:snapToGrid/>
        <w:spacing w:before="0" w:beforeAutospacing="0" w:after="0" w:afterAutospacing="0" w:line="560" w:lineRule="exact"/>
        <w:ind w:left="0" w:leftChars="0" w:right="0" w:firstLine="650" w:firstLineChars="200"/>
        <w:textAlignment w:val="auto"/>
        <w:outlineLvl w:val="9"/>
        <w:rPr>
          <w:rFonts w:hint="eastAsia" w:ascii="方正仿宋_GBK" w:eastAsia="方正仿宋_GBK"/>
          <w:sz w:val="32"/>
          <w:lang w:eastAsia="zh-CN"/>
        </w:rPr>
      </w:pPr>
    </w:p>
    <w:p>
      <w:pPr>
        <w:widowControl w:val="0"/>
        <w:wordWrap/>
        <w:adjustRightInd/>
        <w:snapToGrid/>
        <w:spacing w:before="0" w:after="0" w:line="560" w:lineRule="exact"/>
        <w:ind w:right="0" w:firstLine="640"/>
        <w:jc w:val="left"/>
        <w:textAlignment w:val="auto"/>
        <w:outlineLvl w:val="9"/>
        <w:rPr>
          <w:rFonts w:hint="eastAsia" w:ascii="方正仿宋_GBK" w:hAnsi="宋体" w:eastAsia="方正仿宋_GBK" w:cs="宋体"/>
          <w:color w:val="000000"/>
          <w:kern w:val="0"/>
          <w:sz w:val="32"/>
          <w:szCs w:val="24"/>
          <w:lang w:val="en-US" w:eastAsia="zh-CN" w:bidi="ar-SA"/>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RomanS">
    <w:altName w:val="Segoe UI Light"/>
    <w:panose1 w:val="02000400000000000000"/>
    <w:charset w:val="00"/>
    <w:family w:val="auto"/>
    <w:pitch w:val="default"/>
    <w:sig w:usb0="00000207" w:usb1="00000000" w:usb2="00000000" w:usb3="00000000" w:csb0="000001F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A00002EF" w:usb1="4000207B" w:usb2="00000000" w:usb3="00000000" w:csb0="2000019F" w:csb1="00000000"/>
  </w:font>
  <w:font w:name="Segoe UI Light">
    <w:panose1 w:val="020B0502040204020203"/>
    <w:charset w:val="00"/>
    <w:family w:val="auto"/>
    <w:pitch w:val="default"/>
    <w:sig w:usb0="E00002FF" w:usb1="4000A47B"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Times New Roman" w:hAnsi="Times New Roman" w:cs="Times New Roman"/>
      </w:rPr>
    </w:pPr>
    <w:r>
      <w:rPr>
        <w:rFonts w:ascii="Times New Roman" w:hAnsi="Times New Roman" w:eastAsia="黑体" w:cs="Times New Roman"/>
      </w:rPr>
      <w:fldChar w:fldCharType="begin"/>
    </w:r>
    <w:r>
      <w:rPr>
        <w:rFonts w:ascii="Times New Roman" w:hAnsi="Times New Roman" w:eastAsia="黑体" w:cs="Times New Roman"/>
      </w:rPr>
      <w:instrText xml:space="preserve">PAGE   \* MERGEFORMAT</w:instrText>
    </w:r>
    <w:r>
      <w:rPr>
        <w:rFonts w:ascii="Times New Roman" w:hAnsi="Times New Roman" w:eastAsia="黑体" w:cs="Times New Roman"/>
      </w:rPr>
      <w:fldChar w:fldCharType="separate"/>
    </w:r>
    <w:r>
      <w:rPr>
        <w:rFonts w:ascii="Times New Roman" w:hAnsi="Times New Roman" w:eastAsia="黑体" w:cs="Times New Roman"/>
        <w:lang w:val="zh-CN"/>
      </w:rPr>
      <w:t>13</w:t>
    </w:r>
    <w:r>
      <w:rPr>
        <w:rFonts w:ascii="Times New Roman" w:hAnsi="Times New Roman" w:eastAsia="黑体" w:cs="Times New Roma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paragraph" w:styleId="2">
    <w:name w:val="heading 1"/>
    <w:basedOn w:val="1"/>
    <w:next w:val="1"/>
    <w:pPr>
      <w:keepNext/>
      <w:keepLines/>
      <w:spacing w:before="340" w:after="330" w:line="578" w:lineRule="auto"/>
      <w:outlineLvl w:val="0"/>
    </w:pPr>
    <w:rPr>
      <w:b/>
      <w:bCs/>
      <w:kern w:val="44"/>
      <w:sz w:val="44"/>
      <w:szCs w:val="44"/>
    </w:rPr>
  </w:style>
  <w:style w:type="character" w:default="1" w:styleId="6">
    <w:name w:val="Default Paragraph Font"/>
  </w:style>
  <w:style w:type="paragraph" w:styleId="3">
    <w:name w:val="footer"/>
    <w:basedOn w:val="1"/>
    <w:pPr>
      <w:tabs>
        <w:tab w:val="center" w:pos="4153"/>
        <w:tab w:val="right" w:pos="8306"/>
      </w:tabs>
      <w:snapToGrid w:val="0"/>
      <w:jc w:val="left"/>
    </w:pPr>
    <w:rPr>
      <w:sz w:val="18"/>
      <w:szCs w:val="18"/>
    </w:rPr>
  </w:style>
  <w:style w:type="paragraph" w:styleId="4">
    <w:name w:val="toc 1"/>
    <w:basedOn w:val="1"/>
    <w:next w:val="1"/>
  </w:style>
  <w:style w:type="paragraph" w:styleId="5">
    <w:name w:val="toc 2"/>
    <w:basedOn w:val="1"/>
    <w:next w:val="1"/>
    <w:pPr>
      <w:ind w:left="420" w:leftChars="200"/>
    </w:pPr>
  </w:style>
  <w:style w:type="character" w:styleId="7">
    <w:name w:val="Hyperlink"/>
    <w:basedOn w:val="6"/>
    <w:rPr>
      <w:color w:val="0563C1"/>
      <w:u w:val="single"/>
    </w:rPr>
  </w:style>
  <w:style w:type="paragraph" w:customStyle="1" w:styleId="8">
    <w:name w:val="Normal (Web)"/>
    <w:basedOn w:val="1"/>
    <w:next w:val="1"/>
    <w:pPr>
      <w:widowControl/>
      <w:spacing w:before="100" w:beforeAutospacing="1" w:after="100" w:afterAutospacing="1"/>
      <w:jc w:val="left"/>
    </w:pPr>
    <w:rPr>
      <w:rFonts w:ascii="宋体" w:hAnsi="宋体" w:cs="宋体"/>
      <w:color w:val="000000"/>
      <w:kern w:val="0"/>
      <w:sz w:val="24"/>
    </w:rPr>
  </w:style>
  <w:style w:type="paragraph" w:customStyle="1" w:styleId="9">
    <w:name w:val="TOC Heading"/>
    <w:basedOn w:val="2"/>
    <w:next w:val="1"/>
    <w:pPr>
      <w:widowControl/>
      <w:spacing w:before="240" w:after="0" w:line="259" w:lineRule="auto"/>
      <w:jc w:val="left"/>
      <w:outlineLvl w:val="9"/>
    </w:pPr>
    <w:rPr>
      <w:rFonts w:ascii="Calibri Light" w:hAnsi="Calibri Light" w:eastAsia="宋体" w:cs="黑体"/>
      <w:b w:val="0"/>
      <w:bCs w:val="0"/>
      <w:color w:val="2D73B3"/>
      <w:kern w:val="0"/>
      <w:sz w:val="32"/>
      <w:szCs w:val="32"/>
    </w:rPr>
  </w:style>
  <w:style w:type="paragraph" w:customStyle="1" w:styleId="10">
    <w:name w:val="ha1"/>
    <w:basedOn w:val="1"/>
    <w:pPr>
      <w:widowControl/>
      <w:spacing w:before="100" w:beforeAutospacing="1" w:after="100" w:afterAutospacing="1"/>
      <w:jc w:val="left"/>
    </w:pPr>
    <w:rPr>
      <w:rFonts w:ascii="宋体" w:hAnsi="宋体" w:eastAsia="宋体" w:cs="宋体"/>
      <w:kern w:val="0"/>
      <w:sz w:val="24"/>
      <w:szCs w:val="24"/>
    </w:rPr>
  </w:style>
  <w:style w:type="paragraph" w:customStyle="1" w:styleId="11">
    <w:name w:val="ha3"/>
    <w:basedOn w:val="1"/>
    <w:pPr>
      <w:widowControl/>
      <w:spacing w:before="100" w:beforeAutospacing="1" w:after="100" w:afterAutospacing="1"/>
      <w:jc w:val="left"/>
    </w:pPr>
    <w:rPr>
      <w:rFonts w:ascii="宋体" w:hAnsi="宋体" w:eastAsia="宋体" w:cs="宋体"/>
      <w:kern w:val="0"/>
      <w:sz w:val="24"/>
      <w:szCs w:val="24"/>
    </w:rPr>
  </w:style>
  <w:style w:type="paragraph" w:customStyle="1" w:styleId="12">
    <w:name w:val="List Paragraph"/>
    <w:basedOn w:val="1"/>
    <w:pPr>
      <w:ind w:firstLine="420" w:firstLineChars="200"/>
    </w:pPr>
  </w:style>
  <w:style w:type="character" w:customStyle="1" w:styleId="13">
    <w:name w:val="fw2"/>
    <w:basedOn w:val="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2021-03-04T09:35:00Z</dcterms:created>
  <dc:creator>李周</dc:creator>
  <cp:lastPrinted>2021-12-17T11:20:00Z</cp:lastPrinted>
  <dcterms:modified xsi:type="dcterms:W3CDTF">2021-12-17T11:52:34Z</dcterms:modified>
  <dc:title>李周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